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Layout w:type="fixed"/>
        <w:tblCellMar>
          <w:left w:w="0" w:type="dxa"/>
          <w:right w:w="0" w:type="dxa"/>
        </w:tblCellMar>
        <w:tblLook w:val="0000"/>
      </w:tblPr>
      <w:tblGrid>
        <w:gridCol w:w="1701"/>
        <w:gridCol w:w="7371"/>
      </w:tblGrid>
      <w:tr w:rsidR="0085469A" w:rsidTr="00B86CFA">
        <w:trPr>
          <w:trHeight w:val="369"/>
        </w:trPr>
        <w:tc>
          <w:tcPr>
            <w:tcW w:w="1701" w:type="dxa"/>
          </w:tcPr>
          <w:p w:rsidR="0085469A" w:rsidRDefault="0085469A" w:rsidP="00C663B4">
            <w:pPr>
              <w:pStyle w:val="zContactHeadings"/>
            </w:pPr>
            <w:r>
              <w:t>Subject</w:t>
            </w:r>
          </w:p>
        </w:tc>
        <w:tc>
          <w:tcPr>
            <w:tcW w:w="7371" w:type="dxa"/>
          </w:tcPr>
          <w:p w:rsidR="0085469A" w:rsidRPr="009F792A" w:rsidRDefault="009F792A" w:rsidP="00C663B4">
            <w:pPr>
              <w:pStyle w:val="zContactDetails"/>
              <w:rPr>
                <w:b/>
              </w:rPr>
            </w:pPr>
            <w:r w:rsidRPr="009F792A">
              <w:rPr>
                <w:b/>
              </w:rPr>
              <w:t>Health Promotion Agency</w:t>
            </w:r>
          </w:p>
        </w:tc>
      </w:tr>
      <w:tr w:rsidR="0085469A" w:rsidTr="00B86CFA">
        <w:trPr>
          <w:trHeight w:val="369"/>
        </w:trPr>
        <w:tc>
          <w:tcPr>
            <w:tcW w:w="1701" w:type="dxa"/>
          </w:tcPr>
          <w:p w:rsidR="0085469A" w:rsidRPr="00ED1E04" w:rsidRDefault="0085469A" w:rsidP="00C663B4">
            <w:pPr>
              <w:pStyle w:val="zContactHeadings"/>
              <w:rPr>
                <w:caps w:val="0"/>
              </w:rPr>
            </w:pPr>
            <w:r w:rsidRPr="00ED1E04">
              <w:t>Date</w:t>
            </w:r>
          </w:p>
        </w:tc>
        <w:tc>
          <w:tcPr>
            <w:tcW w:w="7371" w:type="dxa"/>
          </w:tcPr>
          <w:p w:rsidR="0085469A" w:rsidRDefault="00ED1E04" w:rsidP="00ED1E04">
            <w:pPr>
              <w:pStyle w:val="zContactDetails"/>
            </w:pPr>
            <w:bookmarkStart w:id="0" w:name="Date"/>
            <w:bookmarkEnd w:id="0"/>
            <w:r w:rsidRPr="00ED1E04">
              <w:t xml:space="preserve">22 October </w:t>
            </w:r>
            <w:r w:rsidR="00C04E96" w:rsidRPr="00ED1E04">
              <w:t>2014</w:t>
            </w:r>
          </w:p>
        </w:tc>
      </w:tr>
      <w:tr w:rsidR="0085469A" w:rsidTr="00B86CFA">
        <w:trPr>
          <w:trHeight w:val="369"/>
        </w:trPr>
        <w:tc>
          <w:tcPr>
            <w:tcW w:w="1701" w:type="dxa"/>
          </w:tcPr>
          <w:p w:rsidR="0085469A" w:rsidRDefault="0085469A" w:rsidP="00C663B4">
            <w:pPr>
              <w:pStyle w:val="zContactHeadings"/>
              <w:rPr>
                <w:caps w:val="0"/>
              </w:rPr>
            </w:pPr>
            <w:r>
              <w:t>Attention</w:t>
            </w:r>
          </w:p>
        </w:tc>
        <w:tc>
          <w:tcPr>
            <w:tcW w:w="7371" w:type="dxa"/>
          </w:tcPr>
          <w:p w:rsidR="0085469A" w:rsidRPr="00C03CF9" w:rsidRDefault="007E7AED" w:rsidP="00C663B4">
            <w:pPr>
              <w:pStyle w:val="zContactDetails"/>
            </w:pPr>
            <w:r w:rsidRPr="007E7AED">
              <w:t>Hon Dr Jonathan Coleman</w:t>
            </w:r>
            <w:r w:rsidR="00C04E96">
              <w:t xml:space="preserve">, Minister of Health </w:t>
            </w:r>
          </w:p>
        </w:tc>
      </w:tr>
    </w:tbl>
    <w:p w:rsidR="00E335AC" w:rsidRDefault="00E335AC" w:rsidP="0085469A">
      <w:pPr>
        <w:pStyle w:val="zForYour"/>
      </w:pPr>
    </w:p>
    <w:p w:rsidR="0085469A" w:rsidRDefault="009F792A" w:rsidP="00530DE2">
      <w:pPr>
        <w:pStyle w:val="Heading5"/>
      </w:pPr>
      <w:r>
        <w:t>Purpose</w:t>
      </w:r>
    </w:p>
    <w:p w:rsidR="0085469A" w:rsidRDefault="00365ACF" w:rsidP="0085469A">
      <w:pPr>
        <w:pStyle w:val="BodyText"/>
      </w:pPr>
      <w:bookmarkStart w:id="1" w:name="Text"/>
      <w:bookmarkEnd w:id="1"/>
      <w:r>
        <w:t>This paper provides the incoming Minister of Health with brief information about t</w:t>
      </w:r>
      <w:r w:rsidR="00686A0A">
        <w:t>he Health Promotion Agency (HPA</w:t>
      </w:r>
      <w:r w:rsidR="00B32275">
        <w:t>)</w:t>
      </w:r>
      <w:r w:rsidR="00686A0A">
        <w:t xml:space="preserve"> and</w:t>
      </w:r>
      <w:r w:rsidR="00194DDF">
        <w:t xml:space="preserve"> its work.</w:t>
      </w:r>
      <w:r w:rsidR="00186973">
        <w:t xml:space="preserve"> Copies of HPA’s </w:t>
      </w:r>
      <w:r w:rsidR="00186973">
        <w:rPr>
          <w:i/>
        </w:rPr>
        <w:t xml:space="preserve">Statement of Intent 2014–2018 </w:t>
      </w:r>
      <w:r w:rsidR="00186973">
        <w:t xml:space="preserve">and </w:t>
      </w:r>
      <w:r w:rsidR="00186973">
        <w:rPr>
          <w:i/>
        </w:rPr>
        <w:t xml:space="preserve">Statement of Performance Expectations 2014/15 </w:t>
      </w:r>
      <w:r w:rsidR="00186973">
        <w:t xml:space="preserve">documents are attached to this briefing.  </w:t>
      </w:r>
    </w:p>
    <w:p w:rsidR="009F792A" w:rsidRDefault="009F792A" w:rsidP="009F792A">
      <w:pPr>
        <w:pStyle w:val="Heading5"/>
      </w:pPr>
      <w:r>
        <w:t xml:space="preserve">About HPA </w:t>
      </w:r>
    </w:p>
    <w:p w:rsidR="00194DDF" w:rsidRDefault="00194DDF" w:rsidP="00194DDF">
      <w:pPr>
        <w:pStyle w:val="BodyText"/>
        <w:spacing w:after="120"/>
      </w:pPr>
      <w:r>
        <w:t>HPA is a Crown entity established on 1 July 2012</w:t>
      </w:r>
      <w:r w:rsidR="000D6E36">
        <w:t xml:space="preserve"> </w:t>
      </w:r>
      <w:r w:rsidR="00686A0A">
        <w:t xml:space="preserve">under </w:t>
      </w:r>
      <w:r w:rsidR="000D6E36">
        <w:t>the New Zealand Public Health and Disability Act</w:t>
      </w:r>
      <w:r w:rsidR="00106414">
        <w:t xml:space="preserve"> 2000 (the Act)</w:t>
      </w:r>
      <w:r>
        <w:t xml:space="preserve">. </w:t>
      </w:r>
      <w:r w:rsidR="000D6E36">
        <w:t xml:space="preserve">Most of </w:t>
      </w:r>
      <w:r w:rsidR="00686A0A">
        <w:t>HPA’s</w:t>
      </w:r>
      <w:r w:rsidR="000D6E36">
        <w:t xml:space="preserve"> inaugural staffing and work programme </w:t>
      </w:r>
      <w:r>
        <w:t xml:space="preserve">was formed from its predecessor organisations (the Alcohol Advisory Council of New Zealand and the Health Sponsorship Council) and the initiatives transferred to it from the Ministry of Health (MOH). </w:t>
      </w:r>
    </w:p>
    <w:p w:rsidR="00194DDF" w:rsidRPr="00C72013" w:rsidRDefault="00194DDF" w:rsidP="00194DDF">
      <w:pPr>
        <w:pStyle w:val="BodyText"/>
        <w:spacing w:after="120"/>
      </w:pPr>
      <w:r>
        <w:t xml:space="preserve">Now in its </w:t>
      </w:r>
      <w:r w:rsidR="000D6E36">
        <w:t xml:space="preserve">third </w:t>
      </w:r>
      <w:r>
        <w:t>year, HPA</w:t>
      </w:r>
      <w:r w:rsidR="001D59D6">
        <w:t>’s</w:t>
      </w:r>
      <w:r>
        <w:t xml:space="preserve"> work</w:t>
      </w:r>
      <w:r w:rsidR="000D6E36">
        <w:t xml:space="preserve"> programme </w:t>
      </w:r>
      <w:r w:rsidR="001D59D6">
        <w:t xml:space="preserve">has </w:t>
      </w:r>
      <w:r w:rsidR="000D6E36">
        <w:t>continue</w:t>
      </w:r>
      <w:r w:rsidR="001D59D6">
        <w:t>d</w:t>
      </w:r>
      <w:r w:rsidR="000D6E36">
        <w:t xml:space="preserve"> to expand</w:t>
      </w:r>
      <w:r w:rsidR="00686A0A">
        <w:t>.</w:t>
      </w:r>
      <w:r w:rsidR="001D59D6">
        <w:t xml:space="preserve"> </w:t>
      </w:r>
      <w:r w:rsidR="00606EE3">
        <w:t>The</w:t>
      </w:r>
      <w:r w:rsidR="001D59D6">
        <w:t xml:space="preserve"> current st</w:t>
      </w:r>
      <w:r w:rsidR="000D6E36">
        <w:t xml:space="preserve">affing level is </w:t>
      </w:r>
      <w:r w:rsidR="0022489C" w:rsidRPr="0022489C">
        <w:t>83.5 FTEs.</w:t>
      </w:r>
      <w:r w:rsidR="000D6E36">
        <w:t xml:space="preserve"> </w:t>
      </w:r>
      <w:r w:rsidR="00186973">
        <w:t>HPA is governed by a seven member Board.</w:t>
      </w:r>
      <w:r w:rsidR="009D7D38">
        <w:t xml:space="preserve"> It is funded from Vote Health, from the levy on alcohol produced or imported for sale in New Zealand and from part of the problem gambling levy.</w:t>
      </w:r>
    </w:p>
    <w:p w:rsidR="009F792A" w:rsidRPr="009F792A" w:rsidRDefault="009F792A" w:rsidP="0093746F">
      <w:pPr>
        <w:pStyle w:val="Heading5"/>
      </w:pPr>
      <w:r>
        <w:t xml:space="preserve">What </w:t>
      </w:r>
      <w:r w:rsidR="00686A0A">
        <w:t xml:space="preserve">HPA </w:t>
      </w:r>
      <w:r>
        <w:t>do</w:t>
      </w:r>
      <w:r w:rsidR="00686A0A">
        <w:t>es</w:t>
      </w:r>
      <w:r>
        <w:t xml:space="preserve"> and why </w:t>
      </w:r>
    </w:p>
    <w:p w:rsidR="00606EE3" w:rsidRDefault="00606EE3" w:rsidP="00C6646F">
      <w:pPr>
        <w:pStyle w:val="BodyText"/>
        <w:tabs>
          <w:tab w:val="left" w:pos="1134"/>
        </w:tabs>
        <w:spacing w:after="120"/>
      </w:pPr>
      <w:r>
        <w:t>HPA’s vision is that New Zealanders realise their potential for good health and improved quality of life and New Zealand’s economic and social development is enhanced by people leading healthier lives.</w:t>
      </w:r>
    </w:p>
    <w:p w:rsidR="00C6646F" w:rsidRDefault="00C6646F" w:rsidP="00C6646F">
      <w:pPr>
        <w:pStyle w:val="BodyText"/>
        <w:tabs>
          <w:tab w:val="left" w:pos="1134"/>
        </w:tabs>
        <w:spacing w:after="120"/>
      </w:pPr>
      <w:r>
        <w:t>The scope of HPA’s work is guided by the statutory functions outlined in the Act. HPA has an overall function to lead and support activities to:</w:t>
      </w:r>
    </w:p>
    <w:p w:rsidR="00C6646F" w:rsidRDefault="00C6646F" w:rsidP="007F11A4">
      <w:pPr>
        <w:pStyle w:val="BodyText"/>
        <w:numPr>
          <w:ilvl w:val="0"/>
          <w:numId w:val="20"/>
        </w:numPr>
        <w:tabs>
          <w:tab w:val="left" w:pos="1134"/>
        </w:tabs>
        <w:spacing w:after="120"/>
        <w:ind w:left="1134" w:hanging="567"/>
      </w:pPr>
      <w:r>
        <w:t>promote health and wellbeing and encourage healthy lifestyles</w:t>
      </w:r>
    </w:p>
    <w:p w:rsidR="00C6646F" w:rsidRDefault="00C6646F" w:rsidP="007F11A4">
      <w:pPr>
        <w:pStyle w:val="BodyText"/>
        <w:numPr>
          <w:ilvl w:val="0"/>
          <w:numId w:val="20"/>
        </w:numPr>
        <w:tabs>
          <w:tab w:val="left" w:pos="1134"/>
        </w:tabs>
        <w:spacing w:after="120"/>
        <w:ind w:left="1134" w:hanging="567"/>
      </w:pPr>
      <w:r>
        <w:t>prevent disease, illness and injury</w:t>
      </w:r>
    </w:p>
    <w:p w:rsidR="00C6646F" w:rsidRDefault="00C6646F" w:rsidP="007F11A4">
      <w:pPr>
        <w:pStyle w:val="BodyText"/>
        <w:numPr>
          <w:ilvl w:val="0"/>
          <w:numId w:val="20"/>
        </w:numPr>
        <w:tabs>
          <w:tab w:val="left" w:pos="1134"/>
        </w:tabs>
        <w:spacing w:after="120"/>
        <w:ind w:left="1134" w:hanging="567"/>
      </w:pPr>
      <w:r>
        <w:t>enable environments which support health, wellbeing and healthy lifestyles</w:t>
      </w:r>
    </w:p>
    <w:p w:rsidR="00C6646F" w:rsidRDefault="00C6646F" w:rsidP="007F11A4">
      <w:pPr>
        <w:pStyle w:val="BodyText"/>
        <w:numPr>
          <w:ilvl w:val="0"/>
          <w:numId w:val="20"/>
        </w:numPr>
        <w:tabs>
          <w:tab w:val="left" w:pos="1134"/>
        </w:tabs>
        <w:spacing w:after="120"/>
        <w:ind w:left="1134" w:hanging="567"/>
      </w:pPr>
      <w:r>
        <w:t>reduce personal, social and economic harm.</w:t>
      </w:r>
    </w:p>
    <w:p w:rsidR="00186973" w:rsidRDefault="00686A0A" w:rsidP="00194DDF">
      <w:pPr>
        <w:pStyle w:val="BodyText"/>
        <w:spacing w:after="120"/>
      </w:pPr>
      <w:r>
        <w:t xml:space="preserve">HPA’s </w:t>
      </w:r>
      <w:r w:rsidR="00186973">
        <w:t xml:space="preserve">current work </w:t>
      </w:r>
      <w:r w:rsidR="00C6646F">
        <w:t xml:space="preserve">contributes to the Government’s health targets and key health initiatives across the </w:t>
      </w:r>
      <w:r w:rsidR="00186973">
        <w:t xml:space="preserve">major issues </w:t>
      </w:r>
      <w:r w:rsidR="00C6646F">
        <w:t>of</w:t>
      </w:r>
      <w:r w:rsidR="00186973">
        <w:t>:</w:t>
      </w:r>
    </w:p>
    <w:p w:rsidR="00186973" w:rsidRPr="00606EE3" w:rsidRDefault="00186973" w:rsidP="00606EE3">
      <w:pPr>
        <w:pStyle w:val="Bullet1"/>
        <w:numPr>
          <w:ilvl w:val="0"/>
          <w:numId w:val="27"/>
        </w:numPr>
        <w:ind w:left="1134" w:hanging="567"/>
        <w:rPr>
          <w:rFonts w:cs="Arial"/>
        </w:rPr>
      </w:pPr>
      <w:r w:rsidRPr="00606EE3">
        <w:rPr>
          <w:rFonts w:cs="Arial"/>
        </w:rPr>
        <w:t xml:space="preserve">alcohol </w:t>
      </w:r>
    </w:p>
    <w:p w:rsidR="00186973" w:rsidRPr="00606EE3" w:rsidRDefault="00186973" w:rsidP="00606EE3">
      <w:pPr>
        <w:pStyle w:val="Bullet1"/>
        <w:numPr>
          <w:ilvl w:val="0"/>
          <w:numId w:val="27"/>
        </w:numPr>
        <w:ind w:left="1134" w:hanging="567"/>
        <w:rPr>
          <w:rFonts w:cs="Arial"/>
        </w:rPr>
      </w:pPr>
      <w:r w:rsidRPr="00606EE3">
        <w:rPr>
          <w:rFonts w:cs="Arial"/>
        </w:rPr>
        <w:lastRenderedPageBreak/>
        <w:t xml:space="preserve">gambling harm </w:t>
      </w:r>
    </w:p>
    <w:p w:rsidR="00186973" w:rsidRPr="00606EE3" w:rsidRDefault="00186973" w:rsidP="00606EE3">
      <w:pPr>
        <w:pStyle w:val="Bullet1"/>
        <w:numPr>
          <w:ilvl w:val="0"/>
          <w:numId w:val="27"/>
        </w:numPr>
        <w:ind w:left="1134" w:hanging="567"/>
        <w:rPr>
          <w:rFonts w:cs="Arial"/>
        </w:rPr>
      </w:pPr>
      <w:r w:rsidRPr="00606EE3">
        <w:rPr>
          <w:rFonts w:cs="Arial"/>
        </w:rPr>
        <w:t>immunisation</w:t>
      </w:r>
    </w:p>
    <w:p w:rsidR="00186973" w:rsidRPr="00606EE3" w:rsidRDefault="00186973" w:rsidP="00606EE3">
      <w:pPr>
        <w:pStyle w:val="Bullet1"/>
        <w:numPr>
          <w:ilvl w:val="0"/>
          <w:numId w:val="27"/>
        </w:numPr>
        <w:ind w:left="1134" w:hanging="567"/>
        <w:rPr>
          <w:rFonts w:cs="Arial"/>
        </w:rPr>
      </w:pPr>
      <w:r w:rsidRPr="00606EE3">
        <w:rPr>
          <w:rFonts w:cs="Arial"/>
        </w:rPr>
        <w:t>nutrition and physical activity</w:t>
      </w:r>
    </w:p>
    <w:p w:rsidR="00186973" w:rsidRPr="00606EE3" w:rsidRDefault="00186973" w:rsidP="00606EE3">
      <w:pPr>
        <w:pStyle w:val="Bullet1"/>
        <w:numPr>
          <w:ilvl w:val="0"/>
          <w:numId w:val="27"/>
        </w:numPr>
        <w:ind w:left="1134" w:hanging="567"/>
        <w:rPr>
          <w:rFonts w:cs="Arial"/>
        </w:rPr>
      </w:pPr>
      <w:r w:rsidRPr="00606EE3">
        <w:rPr>
          <w:rFonts w:cs="Arial"/>
        </w:rPr>
        <w:t>mental health</w:t>
      </w:r>
    </w:p>
    <w:p w:rsidR="00186973" w:rsidRPr="00606EE3" w:rsidRDefault="00186973" w:rsidP="00606EE3">
      <w:pPr>
        <w:pStyle w:val="Bullet1"/>
        <w:numPr>
          <w:ilvl w:val="0"/>
          <w:numId w:val="27"/>
        </w:numPr>
        <w:ind w:left="1134" w:hanging="567"/>
        <w:rPr>
          <w:rFonts w:cs="Arial"/>
        </w:rPr>
      </w:pPr>
      <w:r w:rsidRPr="00606EE3">
        <w:rPr>
          <w:rFonts w:cs="Arial"/>
        </w:rPr>
        <w:t xml:space="preserve">rheumatic fever </w:t>
      </w:r>
    </w:p>
    <w:p w:rsidR="00186973" w:rsidRPr="00606EE3" w:rsidRDefault="00186973" w:rsidP="00606EE3">
      <w:pPr>
        <w:pStyle w:val="Bullet1"/>
        <w:numPr>
          <w:ilvl w:val="0"/>
          <w:numId w:val="27"/>
        </w:numPr>
        <w:ind w:left="1134" w:hanging="567"/>
        <w:rPr>
          <w:rFonts w:cs="Arial"/>
        </w:rPr>
      </w:pPr>
      <w:r w:rsidRPr="00606EE3">
        <w:rPr>
          <w:rFonts w:cs="Arial"/>
        </w:rPr>
        <w:t xml:space="preserve">sun safety </w:t>
      </w:r>
    </w:p>
    <w:p w:rsidR="00186973" w:rsidRPr="00606EE3" w:rsidRDefault="00186973" w:rsidP="00606EE3">
      <w:pPr>
        <w:pStyle w:val="Bullet1"/>
        <w:numPr>
          <w:ilvl w:val="0"/>
          <w:numId w:val="27"/>
        </w:numPr>
        <w:ind w:left="1134" w:hanging="567"/>
        <w:rPr>
          <w:rFonts w:cs="Arial"/>
        </w:rPr>
      </w:pPr>
      <w:r w:rsidRPr="00606EE3">
        <w:rPr>
          <w:rFonts w:cs="Arial"/>
        </w:rPr>
        <w:t>tobacco</w:t>
      </w:r>
      <w:r w:rsidR="00606EE3" w:rsidRPr="00606EE3">
        <w:rPr>
          <w:rFonts w:cs="Arial"/>
        </w:rPr>
        <w:t xml:space="preserve"> control</w:t>
      </w:r>
      <w:r w:rsidRPr="00606EE3">
        <w:rPr>
          <w:rFonts w:cs="Arial"/>
        </w:rPr>
        <w:t>.</w:t>
      </w:r>
    </w:p>
    <w:p w:rsidR="00186973" w:rsidRDefault="00C0380E" w:rsidP="00194DDF">
      <w:pPr>
        <w:pStyle w:val="BodyText"/>
        <w:spacing w:after="120"/>
      </w:pPr>
      <w:r>
        <w:t>HPA manages the Ministry of Health’s resources</w:t>
      </w:r>
      <w:r w:rsidR="00A1316F">
        <w:t xml:space="preserve"> covering a wide breadth of topic areas</w:t>
      </w:r>
      <w:r w:rsidR="00DC0DC9">
        <w:t xml:space="preserve"> and </w:t>
      </w:r>
      <w:r w:rsidR="00C35D5A">
        <w:t>is</w:t>
      </w:r>
      <w:r w:rsidR="00DC0DC9">
        <w:t xml:space="preserve"> frequently asked to work in new health promotion initiatives</w:t>
      </w:r>
      <w:r w:rsidR="001C13DF">
        <w:t>, such as the ‘Get a heart and diabetes check’ campaign that featured</w:t>
      </w:r>
      <w:r w:rsidR="001C13DF" w:rsidRPr="00CB1209">
        <w:rPr>
          <w:rFonts w:cs="Arial"/>
          <w:sz w:val="20"/>
          <w:szCs w:val="20"/>
        </w:rPr>
        <w:t xml:space="preserve"> </w:t>
      </w:r>
      <w:r w:rsidR="001C13DF">
        <w:rPr>
          <w:rFonts w:cs="Arial"/>
          <w:sz w:val="20"/>
          <w:szCs w:val="20"/>
        </w:rPr>
        <w:t>Buck Shelford.</w:t>
      </w:r>
    </w:p>
    <w:p w:rsidR="00C6646F" w:rsidRDefault="00C6646F" w:rsidP="00C6646F">
      <w:pPr>
        <w:pStyle w:val="BodyText"/>
        <w:tabs>
          <w:tab w:val="left" w:pos="1134"/>
        </w:tabs>
        <w:spacing w:after="120"/>
      </w:pPr>
      <w:r>
        <w:t>HPA also has alcohol-specific functions to:</w:t>
      </w:r>
    </w:p>
    <w:p w:rsidR="00C6646F" w:rsidRPr="00606EE3" w:rsidRDefault="00C6646F" w:rsidP="00606EE3">
      <w:pPr>
        <w:pStyle w:val="Bullet1"/>
        <w:numPr>
          <w:ilvl w:val="0"/>
          <w:numId w:val="27"/>
        </w:numPr>
        <w:ind w:left="1134" w:hanging="567"/>
        <w:rPr>
          <w:rFonts w:cs="Arial"/>
        </w:rPr>
      </w:pPr>
      <w:r w:rsidRPr="00606EE3">
        <w:rPr>
          <w:rFonts w:cs="Arial"/>
        </w:rPr>
        <w:t>give advice and make recommendations to government, government agencies, industry, non-government bodies, communities, health professionals and others on the sale, supply, consumption, misuse and harm of alcohol as those matters relate to HPA’s general functions</w:t>
      </w:r>
    </w:p>
    <w:p w:rsidR="00C6646F" w:rsidRPr="00606EE3" w:rsidRDefault="00C6646F" w:rsidP="00606EE3">
      <w:pPr>
        <w:pStyle w:val="Bullet1"/>
        <w:numPr>
          <w:ilvl w:val="0"/>
          <w:numId w:val="27"/>
        </w:numPr>
        <w:ind w:left="1134" w:hanging="567"/>
        <w:rPr>
          <w:rFonts w:cs="Arial"/>
        </w:rPr>
      </w:pPr>
      <w:r w:rsidRPr="00606EE3">
        <w:rPr>
          <w:rFonts w:cs="Arial"/>
        </w:rPr>
        <w:t>undertake, or work with others, to research alcohol use and public attitudes to alcohol in New Zealand and problems associated with, or consequent on, alcohol misuse.</w:t>
      </w:r>
    </w:p>
    <w:p w:rsidR="00C6646F" w:rsidRDefault="00C6646F" w:rsidP="00C6646F">
      <w:pPr>
        <w:pStyle w:val="BodyText"/>
        <w:tabs>
          <w:tab w:val="left" w:pos="1134"/>
        </w:tabs>
        <w:spacing w:after="120"/>
      </w:pPr>
      <w:r>
        <w:t xml:space="preserve">These alcohol-specific functions, and an additional clause in the Act allowing HPA more autonomy for its alcohol-related work, mean that HPA’s work on alcohol has a broader scope and mandate. </w:t>
      </w:r>
    </w:p>
    <w:p w:rsidR="00C0380E" w:rsidRDefault="004742D8" w:rsidP="00194DDF">
      <w:pPr>
        <w:pStyle w:val="BodyText"/>
        <w:spacing w:after="120"/>
      </w:pPr>
      <w:r>
        <w:t>HPA’s w</w:t>
      </w:r>
      <w:r w:rsidR="00C0380E">
        <w:t xml:space="preserve">ork is undertaken using a range </w:t>
      </w:r>
      <w:r w:rsidR="00C6646F">
        <w:t xml:space="preserve">of </w:t>
      </w:r>
      <w:r w:rsidR="00C0380E">
        <w:t>strategies including:</w:t>
      </w:r>
    </w:p>
    <w:p w:rsidR="00C0380E" w:rsidRPr="00606EE3" w:rsidRDefault="005A5900" w:rsidP="00606EE3">
      <w:pPr>
        <w:pStyle w:val="Bullet1"/>
        <w:numPr>
          <w:ilvl w:val="0"/>
          <w:numId w:val="27"/>
        </w:numPr>
        <w:ind w:left="1134" w:hanging="567"/>
        <w:rPr>
          <w:rFonts w:cs="Arial"/>
        </w:rPr>
      </w:pPr>
      <w:r w:rsidRPr="00606EE3">
        <w:rPr>
          <w:rFonts w:cs="Arial"/>
        </w:rPr>
        <w:t>m</w:t>
      </w:r>
      <w:r w:rsidR="00C0380E" w:rsidRPr="00606EE3">
        <w:rPr>
          <w:rFonts w:cs="Arial"/>
        </w:rPr>
        <w:t>arketing and communications activities</w:t>
      </w:r>
    </w:p>
    <w:p w:rsidR="00C0380E" w:rsidRPr="00606EE3" w:rsidRDefault="005A5900" w:rsidP="00606EE3">
      <w:pPr>
        <w:pStyle w:val="Bullet1"/>
        <w:numPr>
          <w:ilvl w:val="0"/>
          <w:numId w:val="27"/>
        </w:numPr>
        <w:ind w:left="1134" w:hanging="567"/>
        <w:rPr>
          <w:rFonts w:cs="Arial"/>
        </w:rPr>
      </w:pPr>
      <w:r w:rsidRPr="00606EE3">
        <w:rPr>
          <w:rFonts w:cs="Arial"/>
        </w:rPr>
        <w:t>h</w:t>
      </w:r>
      <w:r w:rsidR="00C0380E" w:rsidRPr="00606EE3">
        <w:rPr>
          <w:rFonts w:cs="Arial"/>
        </w:rPr>
        <w:t>ealth education resources and tools</w:t>
      </w:r>
    </w:p>
    <w:p w:rsidR="00C0380E" w:rsidRPr="00606EE3" w:rsidRDefault="005A5900" w:rsidP="00606EE3">
      <w:pPr>
        <w:pStyle w:val="Bullet1"/>
        <w:numPr>
          <w:ilvl w:val="0"/>
          <w:numId w:val="27"/>
        </w:numPr>
        <w:ind w:left="1134" w:hanging="567"/>
        <w:rPr>
          <w:rFonts w:cs="Arial"/>
        </w:rPr>
      </w:pPr>
      <w:r w:rsidRPr="00606EE3">
        <w:rPr>
          <w:rFonts w:cs="Arial"/>
        </w:rPr>
        <w:t>s</w:t>
      </w:r>
      <w:r w:rsidR="00C0380E" w:rsidRPr="00606EE3">
        <w:rPr>
          <w:rFonts w:cs="Arial"/>
        </w:rPr>
        <w:t>upport for community-based health promotion initiatives, health services and alcohol regulatory agencies</w:t>
      </w:r>
    </w:p>
    <w:p w:rsidR="00C0380E" w:rsidRPr="00606EE3" w:rsidRDefault="00C0380E" w:rsidP="00606EE3">
      <w:pPr>
        <w:pStyle w:val="Bullet1"/>
        <w:numPr>
          <w:ilvl w:val="0"/>
          <w:numId w:val="27"/>
        </w:numPr>
        <w:ind w:left="1134" w:hanging="567"/>
        <w:rPr>
          <w:rFonts w:cs="Arial"/>
        </w:rPr>
      </w:pPr>
      <w:r w:rsidRPr="00606EE3">
        <w:rPr>
          <w:rFonts w:cs="Arial"/>
        </w:rPr>
        <w:t xml:space="preserve">advice and policy analysis, in particular on alcohol-related issues </w:t>
      </w:r>
    </w:p>
    <w:p w:rsidR="005A5900" w:rsidRPr="00606EE3" w:rsidRDefault="005A5900" w:rsidP="00606EE3">
      <w:pPr>
        <w:pStyle w:val="Bullet1"/>
        <w:numPr>
          <w:ilvl w:val="0"/>
          <w:numId w:val="27"/>
        </w:numPr>
        <w:ind w:left="1134" w:hanging="567"/>
        <w:rPr>
          <w:rFonts w:cs="Arial"/>
        </w:rPr>
      </w:pPr>
      <w:r w:rsidRPr="00606EE3">
        <w:rPr>
          <w:rFonts w:cs="Arial"/>
        </w:rPr>
        <w:t>r</w:t>
      </w:r>
      <w:r w:rsidR="00C0380E" w:rsidRPr="00606EE3">
        <w:rPr>
          <w:rFonts w:cs="Arial"/>
        </w:rPr>
        <w:t>esearch</w:t>
      </w:r>
    </w:p>
    <w:p w:rsidR="00C0380E" w:rsidRPr="00606EE3" w:rsidRDefault="005A5900" w:rsidP="00606EE3">
      <w:pPr>
        <w:pStyle w:val="Bullet1"/>
        <w:numPr>
          <w:ilvl w:val="0"/>
          <w:numId w:val="27"/>
        </w:numPr>
        <w:ind w:left="1134" w:hanging="567"/>
        <w:rPr>
          <w:rFonts w:cs="Arial"/>
        </w:rPr>
      </w:pPr>
      <w:r w:rsidRPr="00606EE3">
        <w:rPr>
          <w:rFonts w:cs="Arial"/>
        </w:rPr>
        <w:t xml:space="preserve">work to promote environments that support health, such as </w:t>
      </w:r>
      <w:r w:rsidR="00A1316F" w:rsidRPr="00606EE3">
        <w:rPr>
          <w:rFonts w:cs="Arial"/>
        </w:rPr>
        <w:t xml:space="preserve">workplaces and </w:t>
      </w:r>
      <w:r w:rsidRPr="00606EE3">
        <w:rPr>
          <w:rFonts w:cs="Arial"/>
        </w:rPr>
        <w:t>alcohol drinking environments</w:t>
      </w:r>
      <w:r w:rsidR="00C0380E" w:rsidRPr="00606EE3">
        <w:rPr>
          <w:rFonts w:cs="Arial"/>
        </w:rPr>
        <w:t>.</w:t>
      </w:r>
    </w:p>
    <w:p w:rsidR="00FD06D7" w:rsidRDefault="00FD06D7" w:rsidP="0093746F">
      <w:pPr>
        <w:pStyle w:val="Heading5"/>
      </w:pPr>
      <w:r>
        <w:t xml:space="preserve">The way we work </w:t>
      </w:r>
    </w:p>
    <w:p w:rsidR="00C6646F" w:rsidRPr="001E5BF5" w:rsidRDefault="001E5BF5" w:rsidP="007F11A4">
      <w:pPr>
        <w:pStyle w:val="Heading6"/>
      </w:pPr>
      <w:r w:rsidRPr="001E5BF5">
        <w:t>Supporting key Government initiatives</w:t>
      </w:r>
    </w:p>
    <w:p w:rsidR="001E5BF5" w:rsidRDefault="00493838" w:rsidP="00FD06D7">
      <w:pPr>
        <w:pStyle w:val="BodyText"/>
        <w:tabs>
          <w:tab w:val="left" w:pos="1134"/>
        </w:tabs>
        <w:spacing w:after="120"/>
      </w:pPr>
      <w:r>
        <w:t>HPA is uniquely placed as a Crown entity with considerable expertise to lead and deliver</w:t>
      </w:r>
      <w:r w:rsidR="00DC0DC9">
        <w:t xml:space="preserve"> </w:t>
      </w:r>
      <w:r w:rsidR="00C6646F">
        <w:t>evidence</w:t>
      </w:r>
      <w:r w:rsidR="005F269A">
        <w:t>-</w:t>
      </w:r>
      <w:r w:rsidR="00C6646F">
        <w:t xml:space="preserve"> based </w:t>
      </w:r>
      <w:r w:rsidR="00DC0DC9">
        <w:t xml:space="preserve">health promotion initiatives. </w:t>
      </w:r>
    </w:p>
    <w:p w:rsidR="00493838" w:rsidRDefault="00DC0DC9" w:rsidP="00FD06D7">
      <w:pPr>
        <w:pStyle w:val="BodyText"/>
        <w:tabs>
          <w:tab w:val="left" w:pos="1134"/>
        </w:tabs>
        <w:spacing w:after="120"/>
      </w:pPr>
      <w:r>
        <w:t>HPA is</w:t>
      </w:r>
      <w:r w:rsidR="00493838">
        <w:t xml:space="preserve"> often called on to provide tactical health promotion, communications and marketing support to </w:t>
      </w:r>
      <w:r w:rsidR="004742D8">
        <w:t xml:space="preserve">key </w:t>
      </w:r>
      <w:r w:rsidR="00493838">
        <w:t>government-led initiatives</w:t>
      </w:r>
      <w:r w:rsidR="00493838" w:rsidRPr="006B21EF">
        <w:t>. For example</w:t>
      </w:r>
      <w:r w:rsidR="00606EE3">
        <w:t>,</w:t>
      </w:r>
      <w:r w:rsidR="00493838" w:rsidRPr="006B21EF">
        <w:t xml:space="preserve"> HPA has recently been asked </w:t>
      </w:r>
      <w:r w:rsidR="006B21EF" w:rsidRPr="006B21EF">
        <w:t xml:space="preserve">by the Ministry of Health to lead the development of an achievement programme </w:t>
      </w:r>
      <w:r w:rsidR="00C35D5A">
        <w:t xml:space="preserve">for </w:t>
      </w:r>
      <w:r w:rsidR="006B21EF" w:rsidRPr="006B21EF">
        <w:t xml:space="preserve">the Healthy Families NZ programme. </w:t>
      </w:r>
      <w:r w:rsidR="001E5BF5">
        <w:t xml:space="preserve">HPA </w:t>
      </w:r>
      <w:r w:rsidR="001C13DF">
        <w:t xml:space="preserve">work </w:t>
      </w:r>
      <w:r w:rsidR="001E5BF5">
        <w:t xml:space="preserve">is also </w:t>
      </w:r>
      <w:r w:rsidR="001C13DF">
        <w:t xml:space="preserve">supporting the positive outcomes of </w:t>
      </w:r>
      <w:r w:rsidR="001E5BF5">
        <w:t>the Prime Minister’s Youth Health Mental initiative</w:t>
      </w:r>
      <w:r w:rsidR="001C13DF">
        <w:t>, in particular</w:t>
      </w:r>
      <w:r w:rsidR="001E5BF5">
        <w:t xml:space="preserve"> through the review and redevelopment</w:t>
      </w:r>
      <w:r w:rsidR="00B92726">
        <w:t xml:space="preserve"> of the Lowdown</w:t>
      </w:r>
      <w:r w:rsidR="001E5BF5">
        <w:t xml:space="preserve">, an online </w:t>
      </w:r>
      <w:r w:rsidR="004742D8">
        <w:t>resource</w:t>
      </w:r>
      <w:r w:rsidR="001E5BF5">
        <w:t xml:space="preserve"> for young people to help them deal with depression.</w:t>
      </w:r>
    </w:p>
    <w:p w:rsidR="001E5BF5" w:rsidRDefault="001E5BF5" w:rsidP="003A0F01">
      <w:pPr>
        <w:pStyle w:val="BodyText"/>
      </w:pPr>
      <w:r>
        <w:lastRenderedPageBreak/>
        <w:t>HPA has an important role in early intervention, providing advice and support in the rollout of alcohol screening and brief intervention in several primary health organisations. This year HPA is leading a programme of work on alcohol and pregnancy, working closely with the primary health sector to tackle the problem of women drinking while pregnant or planning a pregnancy.</w:t>
      </w:r>
    </w:p>
    <w:p w:rsidR="001E5BF5" w:rsidRPr="001E5BF5" w:rsidRDefault="001E5BF5" w:rsidP="00606EE3">
      <w:pPr>
        <w:pStyle w:val="Heading6"/>
      </w:pPr>
      <w:r w:rsidRPr="001E5BF5">
        <w:t>Working in partnership</w:t>
      </w:r>
    </w:p>
    <w:p w:rsidR="003A0F01" w:rsidRDefault="00ED1E04" w:rsidP="003A0F01">
      <w:pPr>
        <w:pStyle w:val="BodyText"/>
      </w:pPr>
      <w:r>
        <w:t xml:space="preserve">HPA has a formal partnership with the Ministry of Health </w:t>
      </w:r>
      <w:r w:rsidR="00EF4783">
        <w:t xml:space="preserve">that </w:t>
      </w:r>
      <w:r>
        <w:t>enables both organisations to plan, share, and implement joint initiatives and outcomes</w:t>
      </w:r>
      <w:r w:rsidR="00EF4783">
        <w:t>,</w:t>
      </w:r>
      <w:r>
        <w:t xml:space="preserve"> </w:t>
      </w:r>
      <w:r w:rsidR="00493838">
        <w:t>such</w:t>
      </w:r>
      <w:r w:rsidR="00DC0DC9">
        <w:t xml:space="preserve"> as</w:t>
      </w:r>
      <w:r w:rsidR="00493838">
        <w:t xml:space="preserve"> </w:t>
      </w:r>
      <w:r w:rsidR="00E856F4">
        <w:t xml:space="preserve">achieving the </w:t>
      </w:r>
      <w:r w:rsidR="001C13DF">
        <w:t>S</w:t>
      </w:r>
      <w:r w:rsidR="00E856F4">
        <w:t xml:space="preserve">mokefree 2025 goal. </w:t>
      </w:r>
      <w:r w:rsidR="00DC0DC9">
        <w:t xml:space="preserve">The current </w:t>
      </w:r>
      <w:r w:rsidR="00493838">
        <w:t xml:space="preserve">tobacco </w:t>
      </w:r>
      <w:r w:rsidR="00E64500">
        <w:t xml:space="preserve">campaign </w:t>
      </w:r>
      <w:r w:rsidR="00606EE3">
        <w:t>‘Stop B</w:t>
      </w:r>
      <w:r w:rsidR="008901FE">
        <w:t xml:space="preserve">efore </w:t>
      </w:r>
      <w:r w:rsidR="00606EE3">
        <w:t>Y</w:t>
      </w:r>
      <w:r w:rsidR="008901FE">
        <w:t xml:space="preserve">ou Start’ </w:t>
      </w:r>
      <w:r w:rsidR="00E856F4">
        <w:t>focuse</w:t>
      </w:r>
      <w:r w:rsidR="008901FE">
        <w:t xml:space="preserve">s </w:t>
      </w:r>
      <w:r w:rsidR="00E856F4">
        <w:t>on New Zealanders aged 1</w:t>
      </w:r>
      <w:r w:rsidR="001C13DF">
        <w:t>8</w:t>
      </w:r>
      <w:r w:rsidR="00E856F4">
        <w:t xml:space="preserve"> to 24 years as they currently have one of the highest levels of smoking prevalence. Adult smoking prevalence is decreasing </w:t>
      </w:r>
      <w:r w:rsidR="00696861">
        <w:t xml:space="preserve">but this is not the case for the 18 to 24-year-olds. Hence the need to reverse this trend to ensure the </w:t>
      </w:r>
      <w:r w:rsidR="001C13DF">
        <w:t>S</w:t>
      </w:r>
      <w:r w:rsidR="00696861">
        <w:t>mokefree 2025 goal is met.</w:t>
      </w:r>
      <w:r w:rsidR="00416A72">
        <w:t xml:space="preserve"> </w:t>
      </w:r>
      <w:r w:rsidR="00416A72" w:rsidRPr="00595957">
        <w:t>Research shows that young adulthood is a key time for establishing smoking behaviours</w:t>
      </w:r>
      <w:r w:rsidR="00416A72">
        <w:t xml:space="preserve"> but also </w:t>
      </w:r>
      <w:r w:rsidR="00416A72" w:rsidRPr="007B0BE0">
        <w:t>that people are unlikely to take up smoking after 25-years-old</w:t>
      </w:r>
      <w:r w:rsidR="00416A72" w:rsidRPr="00595957">
        <w:rPr>
          <w:vertAlign w:val="superscript"/>
        </w:rPr>
        <w:footnoteReference w:id="1"/>
      </w:r>
      <w:r w:rsidR="00416A72">
        <w:t xml:space="preserve">. </w:t>
      </w:r>
    </w:p>
    <w:p w:rsidR="00ED1E04" w:rsidRDefault="00ED1E04" w:rsidP="003A0F01">
      <w:pPr>
        <w:pStyle w:val="BodyText"/>
      </w:pPr>
      <w:r>
        <w:t>HPA also has formalised national partnerships with the Heart Foundation, the Mental Health Foundation, Diabetes New Zealand, the Rural GP network, the PHO Alliance</w:t>
      </w:r>
      <w:r w:rsidR="00EF4783">
        <w:t>, New Zealand Police and the New Zealand Defence Force</w:t>
      </w:r>
      <w:r>
        <w:t xml:space="preserve">. Regular information sharing sessions are </w:t>
      </w:r>
      <w:r w:rsidR="00EF4783">
        <w:t xml:space="preserve">also </w:t>
      </w:r>
      <w:r>
        <w:t xml:space="preserve">held with DHB communications managers.  </w:t>
      </w:r>
    </w:p>
    <w:p w:rsidR="008F01DD" w:rsidRDefault="008F01DD" w:rsidP="003A0F01">
      <w:pPr>
        <w:pStyle w:val="BodyText"/>
      </w:pPr>
      <w:r>
        <w:t xml:space="preserve">HPA works collaboratively with a large number of organisations, including the community and voluntary sector, non-government agencies, </w:t>
      </w:r>
      <w:r w:rsidR="00085E1E">
        <w:t xml:space="preserve">other central government agencies, territorial authorities, education sector agencies, </w:t>
      </w:r>
      <w:r w:rsidR="00B429D4">
        <w:t xml:space="preserve">the media, </w:t>
      </w:r>
      <w:r w:rsidR="00DC0DC9">
        <w:t xml:space="preserve">and </w:t>
      </w:r>
      <w:r w:rsidR="00085E1E">
        <w:t>busi</w:t>
      </w:r>
      <w:r w:rsidR="00DC0DC9">
        <w:t>nesses and industry groups</w:t>
      </w:r>
      <w:r w:rsidR="00085E1E">
        <w:t>.</w:t>
      </w:r>
      <w:r w:rsidR="004742D8">
        <w:t xml:space="preserve"> HPA is one of the lead</w:t>
      </w:r>
      <w:r w:rsidR="001E5BF5">
        <w:t xml:space="preserve"> agencie</w:t>
      </w:r>
      <w:r w:rsidR="004742D8">
        <w:t>s ensuring the successful imple</w:t>
      </w:r>
      <w:r w:rsidR="001E5BF5">
        <w:t>mentation and operation of the Sale and Supply of Alcohol Act</w:t>
      </w:r>
      <w:r w:rsidR="005F269A">
        <w:t xml:space="preserve"> 2012</w:t>
      </w:r>
      <w:r w:rsidR="001E5BF5">
        <w:t xml:space="preserve">, working with industry, local and central government </w:t>
      </w:r>
      <w:r w:rsidR="005F269A">
        <w:t xml:space="preserve">agencies, non-government organisations </w:t>
      </w:r>
      <w:r w:rsidR="001E5BF5">
        <w:t>and communities.</w:t>
      </w:r>
    </w:p>
    <w:p w:rsidR="001E5BF5" w:rsidRPr="00606EE3" w:rsidRDefault="0022489C" w:rsidP="00606EE3">
      <w:pPr>
        <w:pStyle w:val="Heading6"/>
      </w:pPr>
      <w:r w:rsidRPr="00606EE3">
        <w:t>Working efficiently</w:t>
      </w:r>
    </w:p>
    <w:p w:rsidR="001E5BF5" w:rsidRPr="00425CA8" w:rsidRDefault="001E5BF5" w:rsidP="003A0F01">
      <w:pPr>
        <w:pStyle w:val="BodyText"/>
      </w:pPr>
      <w:r>
        <w:t xml:space="preserve">HPA contributes to the Government’s priority of delivering better public services. In 2013/14 HPA achieved Cabinet-directed savings, retained a small surplus and delivered a significant level of additional work over and above the Statement of Intent work programme. </w:t>
      </w:r>
    </w:p>
    <w:p w:rsidR="00FD06D7" w:rsidRDefault="00DC0DC9" w:rsidP="0093746F">
      <w:pPr>
        <w:pStyle w:val="Heading5"/>
      </w:pPr>
      <w:r>
        <w:t>HPA’s</w:t>
      </w:r>
      <w:r w:rsidR="00FD06D7">
        <w:t xml:space="preserve"> key areas of influence </w:t>
      </w:r>
    </w:p>
    <w:p w:rsidR="004A14D6" w:rsidRDefault="005E57DC" w:rsidP="00FD06D7">
      <w:pPr>
        <w:pStyle w:val="BodyText"/>
        <w:tabs>
          <w:tab w:val="left" w:pos="1134"/>
        </w:tabs>
        <w:spacing w:after="120"/>
      </w:pPr>
      <w:r w:rsidRPr="008C529A">
        <w:t>In work</w:t>
      </w:r>
      <w:r w:rsidR="00B87673">
        <w:t>ing</w:t>
      </w:r>
      <w:r w:rsidRPr="008C529A">
        <w:t xml:space="preserve"> towards </w:t>
      </w:r>
      <w:r w:rsidR="00606EE3">
        <w:t>its</w:t>
      </w:r>
      <w:r w:rsidRPr="008C529A">
        <w:t xml:space="preserve"> </w:t>
      </w:r>
      <w:r w:rsidR="00606EE3">
        <w:t>vision</w:t>
      </w:r>
      <w:r w:rsidRPr="008C529A">
        <w:t xml:space="preserve"> of</w:t>
      </w:r>
      <w:r w:rsidR="008C529A" w:rsidRPr="008C529A">
        <w:t xml:space="preserve"> New Zealanders leading healthier lives</w:t>
      </w:r>
      <w:r w:rsidR="00B87673">
        <w:t>,</w:t>
      </w:r>
      <w:r w:rsidR="008C529A" w:rsidRPr="008C529A">
        <w:t xml:space="preserve"> HPA has a number of key areas of influence. These are outlined b</w:t>
      </w:r>
      <w:r w:rsidR="00416A72">
        <w:t>e</w:t>
      </w:r>
      <w:r w:rsidR="008C529A" w:rsidRPr="008C529A">
        <w:t>low with examples.</w:t>
      </w:r>
      <w:r w:rsidR="009F792A">
        <w:t xml:space="preserve"> </w:t>
      </w:r>
    </w:p>
    <w:p w:rsidR="00606EE3" w:rsidRDefault="00606EE3" w:rsidP="00606EE3">
      <w:pPr>
        <w:pStyle w:val="Heading6"/>
      </w:pPr>
      <w:r w:rsidRPr="00606EE3">
        <w:t>C</w:t>
      </w:r>
      <w:r w:rsidR="004A14D6" w:rsidRPr="004A14D6">
        <w:t>onnections with communities</w:t>
      </w:r>
      <w:r w:rsidR="004A14D6">
        <w:t xml:space="preserve"> </w:t>
      </w:r>
    </w:p>
    <w:p w:rsidR="004A14D6" w:rsidRDefault="00E56A11" w:rsidP="004A14D6">
      <w:pPr>
        <w:pStyle w:val="BodyText"/>
      </w:pPr>
      <w:r>
        <w:t xml:space="preserve">HPA’s </w:t>
      </w:r>
      <w:r w:rsidR="00B87673">
        <w:t xml:space="preserve">role </w:t>
      </w:r>
      <w:r>
        <w:t xml:space="preserve">as a </w:t>
      </w:r>
      <w:r w:rsidR="00B87673">
        <w:t xml:space="preserve">Crown </w:t>
      </w:r>
      <w:r w:rsidR="004A14D6">
        <w:t>agen</w:t>
      </w:r>
      <w:r w:rsidR="00B87673">
        <w:t>t</w:t>
      </w:r>
      <w:r w:rsidR="004A14D6">
        <w:t xml:space="preserve"> one step removed from the core </w:t>
      </w:r>
      <w:r w:rsidR="00686A0A">
        <w:t>P</w:t>
      </w:r>
      <w:r w:rsidR="004A14D6">
        <w:t xml:space="preserve">ublic </w:t>
      </w:r>
      <w:r w:rsidR="00686A0A">
        <w:t>S</w:t>
      </w:r>
      <w:r w:rsidR="004A14D6">
        <w:t xml:space="preserve">ervice allows HPA to </w:t>
      </w:r>
      <w:r>
        <w:t xml:space="preserve">easily </w:t>
      </w:r>
      <w:r w:rsidR="004A14D6">
        <w:t>work at the interface between government and community. We do this through s</w:t>
      </w:r>
      <w:r w:rsidR="004A14D6" w:rsidRPr="00FC6F62">
        <w:t>upport for</w:t>
      </w:r>
      <w:r w:rsidR="004A14D6">
        <w:t xml:space="preserve"> </w:t>
      </w:r>
      <w:r w:rsidR="004A14D6" w:rsidRPr="00FC6F62">
        <w:t>frontline and community action and partnersh</w:t>
      </w:r>
      <w:r w:rsidR="004A14D6">
        <w:t>i</w:t>
      </w:r>
      <w:r w:rsidR="00C2585E">
        <w:t xml:space="preserve">ps to promote healthier lives. </w:t>
      </w:r>
      <w:r w:rsidR="004A14D6">
        <w:t>For example</w:t>
      </w:r>
      <w:r>
        <w:t>,</w:t>
      </w:r>
      <w:r w:rsidR="004A14D6" w:rsidRPr="00425CA8">
        <w:t xml:space="preserve"> HPA has a key role to play in the implementation of the </w:t>
      </w:r>
      <w:r w:rsidRPr="00425CA8">
        <w:t xml:space="preserve">Like Minds, Like Mine </w:t>
      </w:r>
      <w:r w:rsidR="001C13DF">
        <w:t>N</w:t>
      </w:r>
      <w:r w:rsidRPr="00425CA8">
        <w:t xml:space="preserve">ational </w:t>
      </w:r>
      <w:r w:rsidR="001C13DF">
        <w:t>P</w:t>
      </w:r>
      <w:r w:rsidRPr="00425CA8">
        <w:t>lan 2014-2019</w:t>
      </w:r>
      <w:r w:rsidR="004A14D6" w:rsidRPr="00425CA8">
        <w:t>, particularly the</w:t>
      </w:r>
      <w:r w:rsidR="004A14D6">
        <w:t xml:space="preserve"> new Community Partnership Fund</w:t>
      </w:r>
      <w:r>
        <w:t xml:space="preserve">. This </w:t>
      </w:r>
      <w:r w:rsidR="004A14D6" w:rsidRPr="00425CA8">
        <w:t xml:space="preserve">Fund will support innovative projects that </w:t>
      </w:r>
      <w:r w:rsidR="004A14D6" w:rsidRPr="00425CA8">
        <w:lastRenderedPageBreak/>
        <w:t>reduce stigma and discrimination and increase social inclusion for people with experience of mental illness.</w:t>
      </w:r>
      <w:r w:rsidR="00017CD0">
        <w:t xml:space="preserve"> HPA </w:t>
      </w:r>
      <w:r>
        <w:t>supports community organisation</w:t>
      </w:r>
      <w:r w:rsidR="00106414">
        <w:t>s</w:t>
      </w:r>
      <w:r>
        <w:t xml:space="preserve"> to undertake health promotion initiatives on a range of topic area. </w:t>
      </w:r>
      <w:r w:rsidR="008149D4">
        <w:t>O</w:t>
      </w:r>
      <w:r>
        <w:t>ther example</w:t>
      </w:r>
      <w:r w:rsidR="00AE2E73">
        <w:t>s</w:t>
      </w:r>
      <w:r w:rsidR="008149D4">
        <w:t xml:space="preserve"> are </w:t>
      </w:r>
      <w:r>
        <w:t>HPA’s</w:t>
      </w:r>
      <w:r w:rsidR="00017CD0">
        <w:t xml:space="preserve"> Community Action on Alcohol Fund that funds innovative community-based project</w:t>
      </w:r>
      <w:r>
        <w:t>s with</w:t>
      </w:r>
      <w:r w:rsidR="00017CD0">
        <w:t xml:space="preserve"> support</w:t>
      </w:r>
      <w:r>
        <w:t xml:space="preserve"> from </w:t>
      </w:r>
      <w:r w:rsidR="00017CD0">
        <w:t>HPA’s regional managers</w:t>
      </w:r>
      <w:r w:rsidR="008149D4">
        <w:t xml:space="preserve"> and the </w:t>
      </w:r>
      <w:r w:rsidR="00AE2E73">
        <w:t>Active Healthy Strong Community Partnership F</w:t>
      </w:r>
      <w:r w:rsidR="008149D4">
        <w:t>und</w:t>
      </w:r>
      <w:r>
        <w:t xml:space="preserve">. </w:t>
      </w:r>
    </w:p>
    <w:p w:rsidR="005977DB" w:rsidRDefault="005977DB" w:rsidP="005977DB">
      <w:pPr>
        <w:pStyle w:val="BodyText"/>
      </w:pPr>
      <w:r>
        <w:t>A significant new National Depression Initiative project</w:t>
      </w:r>
      <w:r w:rsidR="00606EE3">
        <w:t>, which</w:t>
      </w:r>
      <w:r>
        <w:t xml:space="preserve"> focuse</w:t>
      </w:r>
      <w:r w:rsidR="00606EE3">
        <w:t>s</w:t>
      </w:r>
      <w:r>
        <w:t xml:space="preserve"> on supporting rural people that might be experiencing depression</w:t>
      </w:r>
      <w:r w:rsidR="00606EE3">
        <w:t>,</w:t>
      </w:r>
      <w:r>
        <w:t xml:space="preserve"> is another example of </w:t>
      </w:r>
      <w:r w:rsidR="00606EE3">
        <w:t>HPA’s</w:t>
      </w:r>
      <w:r>
        <w:t xml:space="preserve"> reach into communities, in this case rural communities</w:t>
      </w:r>
      <w:r w:rsidRPr="00176298">
        <w:t xml:space="preserve">. </w:t>
      </w:r>
      <w:r w:rsidR="00176298" w:rsidRPr="00176298">
        <w:t>S</w:t>
      </w:r>
      <w:r w:rsidRPr="00176298">
        <w:t>ix farmers shared their stories</w:t>
      </w:r>
      <w:r w:rsidR="00176298" w:rsidRPr="00176298">
        <w:t>, via online videos or written stories,</w:t>
      </w:r>
      <w:r w:rsidRPr="00176298">
        <w:t xml:space="preserve"> </w:t>
      </w:r>
      <w:r w:rsidR="00176298" w:rsidRPr="00176298">
        <w:t>of</w:t>
      </w:r>
      <w:r w:rsidRPr="00176298">
        <w:t xml:space="preserve"> de</w:t>
      </w:r>
      <w:r w:rsidR="00176298" w:rsidRPr="00176298">
        <w:t>pression, hope and staying well.</w:t>
      </w:r>
      <w:r w:rsidR="00A274EE">
        <w:t xml:space="preserve"> This new initiative was developed in collaboration with </w:t>
      </w:r>
      <w:r w:rsidR="003330C0">
        <w:t xml:space="preserve">the farmer mental wellness group made up of the major </w:t>
      </w:r>
      <w:r w:rsidR="00A274EE">
        <w:t>rural organisations, such as Federated Farmers of New Zealand and Rural Women New Zealand.</w:t>
      </w:r>
    </w:p>
    <w:p w:rsidR="00606EE3" w:rsidRDefault="00606EE3" w:rsidP="00785301">
      <w:pPr>
        <w:pStyle w:val="BodyText"/>
        <w:rPr>
          <w:rStyle w:val="Heading6Char"/>
        </w:rPr>
      </w:pPr>
      <w:r w:rsidRPr="00606EE3">
        <w:rPr>
          <w:rStyle w:val="Heading6Char"/>
        </w:rPr>
        <w:t>P</w:t>
      </w:r>
      <w:r w:rsidR="005977DB" w:rsidRPr="00606EE3">
        <w:rPr>
          <w:rStyle w:val="Heading6Char"/>
        </w:rPr>
        <w:t>romot</w:t>
      </w:r>
      <w:r w:rsidR="00C2585E" w:rsidRPr="00606EE3">
        <w:rPr>
          <w:rStyle w:val="Heading6Char"/>
        </w:rPr>
        <w:t>ing</w:t>
      </w:r>
      <w:r w:rsidR="005977DB" w:rsidRPr="00606EE3">
        <w:rPr>
          <w:rStyle w:val="Heading6Char"/>
        </w:rPr>
        <w:t xml:space="preserve"> behaviour </w:t>
      </w:r>
      <w:r w:rsidR="00CC3BFA" w:rsidRPr="00606EE3">
        <w:rPr>
          <w:rStyle w:val="Heading6Char"/>
        </w:rPr>
        <w:t xml:space="preserve">change </w:t>
      </w:r>
      <w:r w:rsidR="00C663B4" w:rsidRPr="00606EE3">
        <w:rPr>
          <w:rStyle w:val="Heading6Char"/>
        </w:rPr>
        <w:t>so that New Zealander</w:t>
      </w:r>
      <w:r w:rsidR="008B01E3" w:rsidRPr="00606EE3">
        <w:rPr>
          <w:rStyle w:val="Heading6Char"/>
        </w:rPr>
        <w:t>s</w:t>
      </w:r>
      <w:r w:rsidR="00C663B4" w:rsidRPr="00606EE3">
        <w:rPr>
          <w:rStyle w:val="Heading6Char"/>
        </w:rPr>
        <w:t xml:space="preserve"> experience better </w:t>
      </w:r>
      <w:r w:rsidR="005977DB" w:rsidRPr="00606EE3">
        <w:rPr>
          <w:rStyle w:val="Heading6Char"/>
        </w:rPr>
        <w:t>health and wellbeing</w:t>
      </w:r>
    </w:p>
    <w:p w:rsidR="00785301" w:rsidRDefault="00C663B4" w:rsidP="00785301">
      <w:pPr>
        <w:pStyle w:val="BodyText"/>
      </w:pPr>
      <w:r>
        <w:t xml:space="preserve"> A range of strategies </w:t>
      </w:r>
      <w:r w:rsidR="004742D8">
        <w:t xml:space="preserve">is </w:t>
      </w:r>
      <w:r>
        <w:t xml:space="preserve">needed to ensure sustainable behaviour and culture change. </w:t>
      </w:r>
      <w:r w:rsidR="00E56A11">
        <w:t>HPA’s m</w:t>
      </w:r>
      <w:r w:rsidR="005977DB" w:rsidRPr="00FC6F62">
        <w:t>arketing activities</w:t>
      </w:r>
      <w:r>
        <w:t xml:space="preserve"> are an important and useful means of increasing awareness and promoting change</w:t>
      </w:r>
      <w:r w:rsidR="00606EE3">
        <w:t>,</w:t>
      </w:r>
      <w:r>
        <w:t xml:space="preserve"> especially when part of a wider package of initiatives and services.</w:t>
      </w:r>
      <w:r w:rsidR="00062E26">
        <w:t xml:space="preserve"> </w:t>
      </w:r>
    </w:p>
    <w:p w:rsidR="00785301" w:rsidRPr="00785301" w:rsidRDefault="00C663B4" w:rsidP="00785301">
      <w:pPr>
        <w:pStyle w:val="BodyText"/>
        <w:rPr>
          <w:lang w:val="en-AU"/>
        </w:rPr>
      </w:pPr>
      <w:r>
        <w:t xml:space="preserve">A recent example of how HPA’s activities have helped to contribute to behaviour change is </w:t>
      </w:r>
      <w:r w:rsidR="00606EE3">
        <w:t>its</w:t>
      </w:r>
      <w:r>
        <w:t xml:space="preserve"> work on </w:t>
      </w:r>
      <w:r w:rsidR="005977DB" w:rsidRPr="00FC6F62">
        <w:t>rheumatic fever</w:t>
      </w:r>
      <w:r>
        <w:t xml:space="preserve">. A </w:t>
      </w:r>
      <w:r w:rsidR="00062E26">
        <w:t xml:space="preserve">significant piece of work for HPA in 2013/14 was managing the 2014 winter rheumatic fever awareness campaign. </w:t>
      </w:r>
      <w:r w:rsidRPr="00C663B4">
        <w:rPr>
          <w:lang w:val="en-AU"/>
        </w:rPr>
        <w:t>The national multi-media campaign was co-designed with the Ministry of Health and delivered in a very tight time frame by HPA, working closely with Pacific and Māori communities and in partnership with health providers.</w:t>
      </w:r>
      <w:r w:rsidR="00785301">
        <w:rPr>
          <w:lang w:val="en-AU"/>
        </w:rPr>
        <w:t xml:space="preserve"> </w:t>
      </w:r>
      <w:r w:rsidR="00785301" w:rsidRPr="00785301">
        <w:rPr>
          <w:lang w:val="en-AU"/>
        </w:rPr>
        <w:t xml:space="preserve">The campaign </w:t>
      </w:r>
      <w:r w:rsidR="00785301">
        <w:rPr>
          <w:lang w:val="en-AU"/>
        </w:rPr>
        <w:t>w</w:t>
      </w:r>
      <w:r w:rsidR="00785301" w:rsidRPr="00785301">
        <w:rPr>
          <w:lang w:val="en-AU"/>
        </w:rPr>
        <w:t xml:space="preserve">as exceptionally well received, particularly the television commercials and videos. Anecdotal feedback from the sector and stakeholders has been overwhelmingly positive. </w:t>
      </w:r>
      <w:r w:rsidR="006329FB">
        <w:rPr>
          <w:lang w:val="en-AU"/>
        </w:rPr>
        <w:t xml:space="preserve">Data to-date </w:t>
      </w:r>
      <w:r w:rsidR="00A46168" w:rsidRPr="001A1D4C">
        <w:t xml:space="preserve">suggests the campaign has </w:t>
      </w:r>
      <w:r w:rsidR="006329FB">
        <w:t xml:space="preserve">significantly </w:t>
      </w:r>
      <w:r w:rsidR="00A46168" w:rsidRPr="001A1D4C">
        <w:t xml:space="preserve">helped boost calls to the Healthline </w:t>
      </w:r>
      <w:r w:rsidR="00A46168">
        <w:t xml:space="preserve">about sore throats </w:t>
      </w:r>
      <w:r w:rsidR="00A46168" w:rsidRPr="001A1D4C">
        <w:t xml:space="preserve">and </w:t>
      </w:r>
      <w:r w:rsidR="006329FB">
        <w:t xml:space="preserve">also </w:t>
      </w:r>
      <w:r w:rsidR="00A46168" w:rsidRPr="001A1D4C">
        <w:t>attendance at sore throat clinics.</w:t>
      </w:r>
      <w:r w:rsidR="00AE2E73">
        <w:t xml:space="preserve"> </w:t>
      </w:r>
    </w:p>
    <w:p w:rsidR="00062E26" w:rsidRPr="00062E26" w:rsidRDefault="00785301" w:rsidP="00062E26">
      <w:pPr>
        <w:pStyle w:val="BodyText"/>
        <w:rPr>
          <w:lang w:val="en-AU"/>
        </w:rPr>
      </w:pPr>
      <w:r>
        <w:t>Another example of successful marketing activity is the popular Say Yeah, Nah campaign</w:t>
      </w:r>
      <w:r w:rsidR="00C35D5A">
        <w:t>.</w:t>
      </w:r>
      <w:r w:rsidR="00106414">
        <w:t xml:space="preserve"> The first phase </w:t>
      </w:r>
      <w:r w:rsidR="00062E26" w:rsidRPr="00062E26">
        <w:rPr>
          <w:lang w:val="en-AU"/>
        </w:rPr>
        <w:t>helped to arm those who want to refuse a drink with the language to do so - Yeah, Nah. The second phase</w:t>
      </w:r>
      <w:r>
        <w:rPr>
          <w:lang w:val="en-AU"/>
        </w:rPr>
        <w:t>, launched in 2013/14,</w:t>
      </w:r>
      <w:r w:rsidR="00062E26" w:rsidRPr="00062E26">
        <w:rPr>
          <w:lang w:val="en-AU"/>
        </w:rPr>
        <w:t xml:space="preserve"> built on the </w:t>
      </w:r>
      <w:r w:rsidR="00106414">
        <w:rPr>
          <w:lang w:val="en-AU"/>
        </w:rPr>
        <w:t xml:space="preserve">original </w:t>
      </w:r>
      <w:r w:rsidR="00062E26" w:rsidRPr="00062E26">
        <w:rPr>
          <w:lang w:val="en-AU"/>
        </w:rPr>
        <w:t xml:space="preserve">television commercial </w:t>
      </w:r>
      <w:r w:rsidR="00106414">
        <w:rPr>
          <w:lang w:val="en-AU"/>
        </w:rPr>
        <w:t xml:space="preserve">(and surrounding activity) </w:t>
      </w:r>
      <w:r w:rsidR="00062E26" w:rsidRPr="00062E26">
        <w:rPr>
          <w:lang w:val="en-AU"/>
        </w:rPr>
        <w:t>to make it socially acceptable to refuse a drink</w:t>
      </w:r>
      <w:r w:rsidR="00106414">
        <w:rPr>
          <w:lang w:val="en-AU"/>
        </w:rPr>
        <w:t xml:space="preserve"> </w:t>
      </w:r>
      <w:r w:rsidR="00B87673">
        <w:rPr>
          <w:lang w:val="en-AU"/>
        </w:rPr>
        <w:t xml:space="preserve">- </w:t>
      </w:r>
      <w:r w:rsidR="00062E26" w:rsidRPr="00062E26">
        <w:rPr>
          <w:lang w:val="en-AU"/>
        </w:rPr>
        <w:t>“They’re not saying no to you, they’re saying no to the beersie”</w:t>
      </w:r>
      <w:r w:rsidR="00C35D5A">
        <w:rPr>
          <w:lang w:val="en-AU"/>
        </w:rPr>
        <w:t>.</w:t>
      </w:r>
      <w:r w:rsidR="00106414">
        <w:rPr>
          <w:lang w:val="en-AU"/>
        </w:rPr>
        <w:t xml:space="preserve"> </w:t>
      </w:r>
      <w:r w:rsidR="00C23CCA" w:rsidRPr="00C23CCA">
        <w:t>Research results show that HPA’s messages resonate with the intended audience - medium to high-risk drinkers aged 18 to 44 who are open to change.</w:t>
      </w:r>
      <w:r w:rsidR="00C23CCA">
        <w:t xml:space="preserve"> </w:t>
      </w:r>
      <w:r w:rsidR="00C23CCA" w:rsidRPr="00374122">
        <w:t>Awareness of Say Yeah, Nah advertising remains high (89%).</w:t>
      </w:r>
    </w:p>
    <w:p w:rsidR="00606EE3" w:rsidRDefault="00606EE3" w:rsidP="00606EE3">
      <w:pPr>
        <w:pStyle w:val="Heading6"/>
      </w:pPr>
      <w:r>
        <w:t>C</w:t>
      </w:r>
      <w:r w:rsidR="008901FE">
        <w:t>omplement</w:t>
      </w:r>
      <w:r>
        <w:t>ing</w:t>
      </w:r>
      <w:r w:rsidR="008901FE">
        <w:t xml:space="preserve"> and support</w:t>
      </w:r>
      <w:r>
        <w:t>ing</w:t>
      </w:r>
      <w:r w:rsidR="005217D7">
        <w:t xml:space="preserve"> the work of </w:t>
      </w:r>
      <w:r w:rsidR="008901FE">
        <w:t>other health sector agencies</w:t>
      </w:r>
    </w:p>
    <w:p w:rsidR="008901FE" w:rsidRPr="00085E1E" w:rsidRDefault="00606EE3" w:rsidP="00717239">
      <w:pPr>
        <w:pStyle w:val="BodyText"/>
      </w:pPr>
      <w:r w:rsidRPr="00606EE3">
        <w:t xml:space="preserve">This work, </w:t>
      </w:r>
      <w:r w:rsidR="008901FE" w:rsidRPr="00606EE3">
        <w:t xml:space="preserve">in particular </w:t>
      </w:r>
      <w:r w:rsidRPr="00606EE3">
        <w:t xml:space="preserve">with </w:t>
      </w:r>
      <w:r w:rsidR="008901FE" w:rsidRPr="00606EE3">
        <w:t>public health services, primary care services</w:t>
      </w:r>
      <w:r w:rsidR="005217D7" w:rsidRPr="00606EE3">
        <w:t>, gambling harm services</w:t>
      </w:r>
      <w:r w:rsidR="008901FE" w:rsidRPr="00606EE3">
        <w:t xml:space="preserve"> and addiction treatment services</w:t>
      </w:r>
      <w:r w:rsidRPr="00606EE3">
        <w:t>,</w:t>
      </w:r>
      <w:r w:rsidR="00085E1E" w:rsidRPr="00606EE3">
        <w:t xml:space="preserve"> forms</w:t>
      </w:r>
      <w:r w:rsidR="00085E1E">
        <w:t xml:space="preserve"> a significant part of HPA’s work across a range o</w:t>
      </w:r>
      <w:r>
        <w:t>f topic areas. Examples include</w:t>
      </w:r>
      <w:r w:rsidR="00085E1E">
        <w:t xml:space="preserve"> providing alcohol drinking advice and resources for use by addiction treatment services</w:t>
      </w:r>
      <w:r>
        <w:t>,</w:t>
      </w:r>
      <w:r w:rsidR="00085E1E">
        <w:t xml:space="preserve"> supporting public health s</w:t>
      </w:r>
      <w:r w:rsidR="005217D7">
        <w:t xml:space="preserve">ervices with awareness raising </w:t>
      </w:r>
      <w:r w:rsidR="00085E1E">
        <w:t>activities</w:t>
      </w:r>
      <w:r w:rsidR="005217D7">
        <w:t xml:space="preserve"> for </w:t>
      </w:r>
      <w:r w:rsidR="00C2585E">
        <w:t xml:space="preserve">national </w:t>
      </w:r>
      <w:r w:rsidR="005217D7">
        <w:t>health days</w:t>
      </w:r>
      <w:r w:rsidR="00B87673">
        <w:t xml:space="preserve"> like</w:t>
      </w:r>
      <w:r w:rsidR="00C2585E">
        <w:t xml:space="preserve"> Gamblefree Day,</w:t>
      </w:r>
      <w:r w:rsidR="005217D7">
        <w:t xml:space="preserve"> </w:t>
      </w:r>
      <w:r w:rsidR="00E56A11">
        <w:t xml:space="preserve">promoting </w:t>
      </w:r>
      <w:r w:rsidR="005217D7">
        <w:t>nutrition and physical activity</w:t>
      </w:r>
      <w:r>
        <w:t xml:space="preserve">, </w:t>
      </w:r>
      <w:r w:rsidR="00085E1E">
        <w:t xml:space="preserve">working with primary health care organisations on </w:t>
      </w:r>
      <w:r w:rsidR="005217D7">
        <w:t xml:space="preserve">consistent </w:t>
      </w:r>
      <w:r w:rsidR="00085E1E">
        <w:t>messagin</w:t>
      </w:r>
      <w:r w:rsidR="005217D7">
        <w:t xml:space="preserve">g on drinking and pregnancy </w:t>
      </w:r>
      <w:r w:rsidR="00E56A11">
        <w:t>and</w:t>
      </w:r>
      <w:r w:rsidR="005217D7">
        <w:t xml:space="preserve"> providing tools </w:t>
      </w:r>
      <w:r w:rsidR="00E56A11">
        <w:t>and resources w</w:t>
      </w:r>
      <w:r w:rsidR="005217D7">
        <w:t>ith sun safety prevention</w:t>
      </w:r>
      <w:r w:rsidR="00E56A11">
        <w:t xml:space="preserve"> </w:t>
      </w:r>
      <w:r w:rsidR="005217D7">
        <w:t xml:space="preserve">messages. </w:t>
      </w:r>
    </w:p>
    <w:p w:rsidR="00606EE3" w:rsidRPr="00606EE3" w:rsidRDefault="00606EE3" w:rsidP="00606EE3">
      <w:pPr>
        <w:pStyle w:val="Heading6"/>
      </w:pPr>
      <w:r w:rsidRPr="00606EE3">
        <w:t>B</w:t>
      </w:r>
      <w:r w:rsidR="00717239" w:rsidRPr="004A14D6">
        <w:t xml:space="preserve">roader scope for </w:t>
      </w:r>
      <w:r w:rsidRPr="00606EE3">
        <w:t>HPA’s</w:t>
      </w:r>
      <w:r w:rsidR="00717239" w:rsidRPr="004A14D6">
        <w:t xml:space="preserve"> mandate for alcohol-related issues</w:t>
      </w:r>
    </w:p>
    <w:p w:rsidR="005977DB" w:rsidRDefault="00606EE3" w:rsidP="00717239">
      <w:pPr>
        <w:pStyle w:val="BodyText"/>
      </w:pPr>
      <w:r>
        <w:t>This mandate</w:t>
      </w:r>
      <w:r w:rsidR="00717239">
        <w:t xml:space="preserve"> enables HPA to be involved in</w:t>
      </w:r>
      <w:r w:rsidR="00E56A11">
        <w:t xml:space="preserve"> </w:t>
      </w:r>
      <w:r>
        <w:t xml:space="preserve">a </w:t>
      </w:r>
      <w:r w:rsidR="00E56A11">
        <w:t>wide range of strategies aimed at reducing alcohol-related harm</w:t>
      </w:r>
      <w:r w:rsidR="00717239">
        <w:t>. For example</w:t>
      </w:r>
      <w:r>
        <w:t>,</w:t>
      </w:r>
      <w:r w:rsidR="00717239">
        <w:t xml:space="preserve"> HPA is taking a lead role in supporting the effective implementation </w:t>
      </w:r>
      <w:r w:rsidR="00E56A11">
        <w:t xml:space="preserve">and </w:t>
      </w:r>
      <w:r w:rsidR="00E076CB">
        <w:t xml:space="preserve">evaluation </w:t>
      </w:r>
      <w:r w:rsidR="00717239">
        <w:t xml:space="preserve">of the Sale and Supply of Alcohol Act 2012. </w:t>
      </w:r>
      <w:r w:rsidR="00176298">
        <w:t>HPA worked c</w:t>
      </w:r>
      <w:r w:rsidR="00176298" w:rsidRPr="00374122">
        <w:t>losely with the Ministry of Justice and other centra</w:t>
      </w:r>
      <w:r w:rsidR="00176298">
        <w:t xml:space="preserve">l and local government agencies </w:t>
      </w:r>
      <w:r w:rsidR="003863C0">
        <w:t>p</w:t>
      </w:r>
      <w:r w:rsidR="00717239">
        <w:t>rior to and following the final provisions of the</w:t>
      </w:r>
      <w:r w:rsidR="00E77A0F">
        <w:t xml:space="preserve"> new legislation </w:t>
      </w:r>
      <w:r w:rsidR="00717239">
        <w:t>coming into effect in December 2013</w:t>
      </w:r>
      <w:r w:rsidR="003863C0">
        <w:t>.</w:t>
      </w:r>
      <w:r w:rsidR="00717239">
        <w:t xml:space="preserve"> </w:t>
      </w:r>
      <w:r w:rsidR="00C2585E">
        <w:t>HPA</w:t>
      </w:r>
      <w:r w:rsidR="003863C0">
        <w:t xml:space="preserve"> </w:t>
      </w:r>
      <w:r w:rsidR="00717239">
        <w:t xml:space="preserve">continues </w:t>
      </w:r>
      <w:r w:rsidR="00E77A0F">
        <w:t xml:space="preserve">to </w:t>
      </w:r>
      <w:r w:rsidR="00717239">
        <w:t xml:space="preserve">have an ongoing leadership role on aspects of implementation in particular with </w:t>
      </w:r>
      <w:r w:rsidR="00717239" w:rsidRPr="00374122">
        <w:t xml:space="preserve">regulatory </w:t>
      </w:r>
      <w:r w:rsidR="00717239">
        <w:t>agencies (</w:t>
      </w:r>
      <w:r>
        <w:t xml:space="preserve">New Zealand </w:t>
      </w:r>
      <w:r w:rsidR="00717239">
        <w:t xml:space="preserve">Police, territorial authorities and public health services) </w:t>
      </w:r>
      <w:r w:rsidR="00717239" w:rsidRPr="00374122">
        <w:t xml:space="preserve">and </w:t>
      </w:r>
      <w:r w:rsidR="00717239">
        <w:t>the hospitality industry</w:t>
      </w:r>
      <w:r w:rsidR="00717239" w:rsidRPr="00374122">
        <w:t>.</w:t>
      </w:r>
      <w:r w:rsidR="00017CD0">
        <w:t xml:space="preserve"> </w:t>
      </w:r>
    </w:p>
    <w:p w:rsidR="00717239" w:rsidRDefault="003863C0" w:rsidP="00717239">
      <w:pPr>
        <w:pStyle w:val="BodyText"/>
      </w:pPr>
      <w:r>
        <w:t xml:space="preserve">HPA </w:t>
      </w:r>
      <w:r w:rsidR="005977DB">
        <w:t>als</w:t>
      </w:r>
      <w:r w:rsidR="00017CD0">
        <w:t>o</w:t>
      </w:r>
      <w:r w:rsidR="005977DB">
        <w:t xml:space="preserve"> </w:t>
      </w:r>
      <w:r w:rsidR="00E076CB">
        <w:t>provide</w:t>
      </w:r>
      <w:r w:rsidR="00E77A0F">
        <w:t>s</w:t>
      </w:r>
      <w:r w:rsidR="00E076CB">
        <w:t xml:space="preserve"> </w:t>
      </w:r>
      <w:r w:rsidR="00017CD0">
        <w:t xml:space="preserve">input into a range of alcohol-related </w:t>
      </w:r>
      <w:r w:rsidR="00062E26">
        <w:t xml:space="preserve">local and central government </w:t>
      </w:r>
      <w:r w:rsidR="00017CD0">
        <w:t>interagenc</w:t>
      </w:r>
      <w:r w:rsidR="005977DB">
        <w:t>y policy processes</w:t>
      </w:r>
      <w:r w:rsidR="00062E26">
        <w:t>. Current work includes contributing to the revision of the national drug policy, family violence work</w:t>
      </w:r>
      <w:r w:rsidR="00B87673">
        <w:t>,</w:t>
      </w:r>
      <w:r w:rsidR="00062E26">
        <w:t xml:space="preserve"> alcohol health warning labelling work</w:t>
      </w:r>
      <w:r w:rsidR="00B87673">
        <w:t xml:space="preserve"> and providing evidence and support for the work of the Ministerial Forum on Alcohol Advertising and Sponsorship</w:t>
      </w:r>
      <w:r w:rsidR="00062E26">
        <w:t>.</w:t>
      </w:r>
    </w:p>
    <w:p w:rsidR="00606EE3" w:rsidRDefault="00606EE3" w:rsidP="00606EE3">
      <w:pPr>
        <w:pStyle w:val="Heading6"/>
      </w:pPr>
      <w:r>
        <w:t>R</w:t>
      </w:r>
      <w:r w:rsidR="004A14D6" w:rsidRPr="004A14D6">
        <w:t>esearch</w:t>
      </w:r>
      <w:r w:rsidR="00C23CCA">
        <w:t xml:space="preserve"> capacity</w:t>
      </w:r>
    </w:p>
    <w:p w:rsidR="00FC6F62" w:rsidRDefault="00C23CCA" w:rsidP="00FC6F62">
      <w:pPr>
        <w:pStyle w:val="BodyText"/>
      </w:pPr>
      <w:r>
        <w:t xml:space="preserve">HPA </w:t>
      </w:r>
      <w:r w:rsidR="00606EE3">
        <w:t xml:space="preserve">is able </w:t>
      </w:r>
      <w:r w:rsidR="00E64500">
        <w:t xml:space="preserve">to </w:t>
      </w:r>
      <w:r>
        <w:t>both undertake</w:t>
      </w:r>
      <w:r w:rsidR="00106414">
        <w:t xml:space="preserve"> and commission</w:t>
      </w:r>
      <w:r w:rsidR="00E77A0F">
        <w:t xml:space="preserve"> research</w:t>
      </w:r>
      <w:r w:rsidR="00514AE4">
        <w:t xml:space="preserve">. HPA’s national surveys include the New Zealand Smoking Monitor, the New Zealand Youth Tobacco Monitor, the Health and Lifestyle Survey and the Attitudes </w:t>
      </w:r>
      <w:r w:rsidR="00E77A0F">
        <w:t xml:space="preserve">and Behaviour </w:t>
      </w:r>
      <w:r w:rsidR="00514AE4">
        <w:t xml:space="preserve">towards Alcohol Survey. </w:t>
      </w:r>
    </w:p>
    <w:p w:rsidR="00C23CCA" w:rsidRDefault="00C23CCA" w:rsidP="00C23CCA">
      <w:pPr>
        <w:pStyle w:val="BodyText"/>
      </w:pPr>
      <w:r w:rsidRPr="002955CA">
        <w:t>To enable improved access to the many sources of data used in tobacco control HPA developed the Tobacco Control Data Repository</w:t>
      </w:r>
      <w:r w:rsidR="00514AE4">
        <w:t>.</w:t>
      </w:r>
      <w:r>
        <w:t xml:space="preserve"> </w:t>
      </w:r>
      <w:r w:rsidRPr="002955CA">
        <w:t>New Zealand now leads the way in making data publically accessible for the purposes of education, intervention planning, research, international cooperation, and exchange of information.</w:t>
      </w:r>
    </w:p>
    <w:p w:rsidR="00E77A0F" w:rsidRPr="002955CA" w:rsidRDefault="00E77A0F" w:rsidP="00C23CCA">
      <w:pPr>
        <w:pStyle w:val="BodyText"/>
      </w:pPr>
      <w:r>
        <w:t xml:space="preserve">In summary, HPA is a flexible and adaptable organisation </w:t>
      </w:r>
      <w:r w:rsidR="00C35D5A">
        <w:t>that is</w:t>
      </w:r>
      <w:r>
        <w:t xml:space="preserve"> well placed to deliver a range of programmes across many </w:t>
      </w:r>
      <w:r w:rsidR="004742D8">
        <w:t>key government health priorities. HPA is positioned to deliver results that are evidence based, working collaboratively and innovatively with a wide range of partner organisations</w:t>
      </w:r>
      <w:r>
        <w:t>.</w:t>
      </w:r>
    </w:p>
    <w:p w:rsidR="00D61D44" w:rsidRDefault="00D61D44" w:rsidP="009F792A">
      <w:pPr>
        <w:pStyle w:val="Heading5"/>
      </w:pPr>
      <w:r>
        <w:t>current significant work areas</w:t>
      </w:r>
      <w:r w:rsidR="0028108F">
        <w:t xml:space="preserve"> </w:t>
      </w:r>
      <w:r>
        <w:t>and further information on matters of interest to you</w:t>
      </w:r>
    </w:p>
    <w:p w:rsidR="00FD06D7" w:rsidRPr="009F792A" w:rsidRDefault="00194DDF" w:rsidP="009F792A">
      <w:pPr>
        <w:pStyle w:val="BodyText"/>
      </w:pPr>
      <w:r>
        <w:t>HPA is able to provide information either in written form or in</w:t>
      </w:r>
      <w:r w:rsidR="008C529A">
        <w:t xml:space="preserve"> </w:t>
      </w:r>
      <w:r w:rsidR="00606EE3">
        <w:t>its</w:t>
      </w:r>
      <w:r w:rsidR="008C529A">
        <w:t xml:space="preserve"> </w:t>
      </w:r>
      <w:r>
        <w:t>meeting</w:t>
      </w:r>
      <w:r w:rsidR="008C529A">
        <w:t>s</w:t>
      </w:r>
      <w:r>
        <w:t xml:space="preserve"> with you on any aspects of </w:t>
      </w:r>
      <w:r w:rsidR="00606EE3">
        <w:t>its</w:t>
      </w:r>
      <w:r w:rsidR="008C529A">
        <w:t xml:space="preserve"> work.  We look forward to working with you in the future.  </w:t>
      </w:r>
    </w:p>
    <w:p w:rsidR="00BF5021" w:rsidRDefault="00BF5021" w:rsidP="0085469A"/>
    <w:tbl>
      <w:tblPr>
        <w:tblW w:w="0" w:type="auto"/>
        <w:tblLook w:val="01E0"/>
      </w:tblPr>
      <w:tblGrid>
        <w:gridCol w:w="4926"/>
        <w:gridCol w:w="4928"/>
      </w:tblGrid>
      <w:tr w:rsidR="0085469A" w:rsidRPr="00BF0B4A" w:rsidTr="00C663B4">
        <w:tc>
          <w:tcPr>
            <w:tcW w:w="4927" w:type="dxa"/>
          </w:tcPr>
          <w:p w:rsidR="00B92726" w:rsidRDefault="00B92726" w:rsidP="00B92726">
            <w:pPr>
              <w:pStyle w:val="zAuthor"/>
              <w:spacing w:before="0"/>
            </w:pPr>
            <w:r>
              <w:rPr>
                <w:noProof/>
                <w:lang w:eastAsia="en-NZ"/>
              </w:rPr>
              <w:drawing>
                <wp:inline distT="0" distB="0" distL="0" distR="0">
                  <wp:extent cx="1248688" cy="556260"/>
                  <wp:effectExtent l="19050" t="0" r="861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0138" cy="556906"/>
                          </a:xfrm>
                          <a:prstGeom prst="rect">
                            <a:avLst/>
                          </a:prstGeom>
                          <a:noFill/>
                          <a:ln w="9525">
                            <a:noFill/>
                            <a:miter lim="800000"/>
                            <a:headEnd/>
                            <a:tailEnd/>
                          </a:ln>
                        </pic:spPr>
                      </pic:pic>
                    </a:graphicData>
                  </a:graphic>
                </wp:inline>
              </w:drawing>
            </w:r>
          </w:p>
          <w:p w:rsidR="0085469A" w:rsidRDefault="00C04E96" w:rsidP="00B92726">
            <w:pPr>
              <w:pStyle w:val="zAuthor"/>
              <w:spacing w:before="0"/>
            </w:pPr>
            <w:r>
              <w:t>Clive Nelson</w:t>
            </w:r>
          </w:p>
          <w:p w:rsidR="0085469A" w:rsidRPr="007119D3" w:rsidRDefault="00C04E96" w:rsidP="00B92726">
            <w:pPr>
              <w:pStyle w:val="BodyText"/>
              <w:spacing w:after="0"/>
              <w:rPr>
                <w:b/>
              </w:rPr>
            </w:pPr>
            <w:r>
              <w:rPr>
                <w:b/>
              </w:rPr>
              <w:t>Chief Executive</w:t>
            </w:r>
          </w:p>
        </w:tc>
        <w:tc>
          <w:tcPr>
            <w:tcW w:w="4928" w:type="dxa"/>
          </w:tcPr>
          <w:p w:rsidR="00B92726" w:rsidRDefault="00B92726" w:rsidP="00B92726">
            <w:pPr>
              <w:pStyle w:val="zAuthor"/>
              <w:spacing w:before="0"/>
            </w:pPr>
            <w:bookmarkStart w:id="2" w:name="_GoBack"/>
            <w:r w:rsidRPr="00B92726">
              <w:rPr>
                <w:noProof/>
                <w:lang w:eastAsia="en-NZ"/>
              </w:rPr>
              <w:drawing>
                <wp:inline distT="0" distB="0" distL="0" distR="0">
                  <wp:extent cx="1434660" cy="3962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6457" cy="396736"/>
                          </a:xfrm>
                          <a:prstGeom prst="rect">
                            <a:avLst/>
                          </a:prstGeom>
                          <a:noFill/>
                          <a:ln>
                            <a:noFill/>
                          </a:ln>
                        </pic:spPr>
                      </pic:pic>
                    </a:graphicData>
                  </a:graphic>
                </wp:inline>
              </w:drawing>
            </w:r>
            <w:bookmarkEnd w:id="2"/>
          </w:p>
          <w:p w:rsidR="00B92726" w:rsidRDefault="00B92726" w:rsidP="00B92726">
            <w:pPr>
              <w:pStyle w:val="zAuthor"/>
              <w:spacing w:before="0"/>
            </w:pPr>
          </w:p>
          <w:p w:rsidR="0085469A" w:rsidRDefault="00C04E96" w:rsidP="00B92726">
            <w:pPr>
              <w:pStyle w:val="zAuthor"/>
              <w:spacing w:before="0"/>
            </w:pPr>
            <w:r>
              <w:t>Lee Mathias</w:t>
            </w:r>
          </w:p>
          <w:p w:rsidR="0085469A" w:rsidRPr="007119D3" w:rsidRDefault="00C04E96" w:rsidP="00B92726">
            <w:pPr>
              <w:pStyle w:val="BodyText"/>
              <w:spacing w:after="0"/>
              <w:rPr>
                <w:b/>
              </w:rPr>
            </w:pPr>
            <w:r>
              <w:rPr>
                <w:b/>
              </w:rPr>
              <w:t>Chairman</w:t>
            </w:r>
          </w:p>
        </w:tc>
      </w:tr>
    </w:tbl>
    <w:p w:rsidR="008E348D" w:rsidRDefault="008E348D">
      <w:pPr>
        <w:spacing w:after="200" w:line="2" w:lineRule="auto"/>
      </w:pPr>
    </w:p>
    <w:sectPr w:rsidR="008E348D" w:rsidSect="0099109E">
      <w:footerReference w:type="default" r:id="rId10"/>
      <w:headerReference w:type="first" r:id="rId11"/>
      <w:footerReference w:type="first" r:id="rId12"/>
      <w:pgSz w:w="11906" w:h="16838" w:code="9"/>
      <w:pgMar w:top="1418"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BE9" w:rsidRDefault="00D44BE9" w:rsidP="00875FE0">
      <w:r>
        <w:separator/>
      </w:r>
    </w:p>
  </w:endnote>
  <w:endnote w:type="continuationSeparator" w:id="0">
    <w:p w:rsidR="00D44BE9" w:rsidRDefault="00D44BE9" w:rsidP="00875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8733"/>
      <w:docPartObj>
        <w:docPartGallery w:val="Page Numbers (Bottom of Page)"/>
        <w:docPartUnique/>
      </w:docPartObj>
    </w:sdtPr>
    <w:sdtContent>
      <w:p w:rsidR="00D44BE9" w:rsidRDefault="000C76CF">
        <w:pPr>
          <w:pStyle w:val="Footer"/>
          <w:jc w:val="right"/>
        </w:pPr>
        <w:r>
          <w:fldChar w:fldCharType="begin"/>
        </w:r>
        <w:r w:rsidR="0022489C">
          <w:instrText xml:space="preserve"> PAGE   \* MERGEFORMAT </w:instrText>
        </w:r>
        <w:r>
          <w:fldChar w:fldCharType="separate"/>
        </w:r>
        <w:r w:rsidR="00F665D3">
          <w:rPr>
            <w:noProof/>
          </w:rPr>
          <w:t>2</w:t>
        </w:r>
        <w:r>
          <w:fldChar w:fldCharType="end"/>
        </w:r>
      </w:p>
    </w:sdtContent>
  </w:sdt>
  <w:p w:rsidR="0022489C" w:rsidRDefault="0022489C" w:rsidP="0022489C">
    <w:pPr>
      <w:pStyle w:val="Footer"/>
    </w:pPr>
  </w:p>
  <w:p w:rsidR="00D945AB" w:rsidRPr="00F665D3" w:rsidRDefault="00F665D3" w:rsidP="00F665D3">
    <w:pPr>
      <w:pStyle w:val="DocID"/>
    </w:pPr>
    <w:fldSimple w:instr=" DOCPROPERTY &quot;DocID&quot; ">
      <w:r>
        <w:t>435765v9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26" w:rsidRDefault="00B92726" w:rsidP="00B92726">
    <w:pPr>
      <w:pStyle w:val="Footer"/>
    </w:pPr>
  </w:p>
  <w:p w:rsidR="00D945AB" w:rsidRPr="00F665D3" w:rsidRDefault="00F665D3" w:rsidP="00F665D3">
    <w:pPr>
      <w:pStyle w:val="DocID"/>
    </w:pPr>
    <w:fldSimple w:instr=" DOCPROPERTY &quot;DocID&quot; ">
      <w:r>
        <w:t>435765v9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BE9" w:rsidRDefault="00D44BE9" w:rsidP="00875FE0">
      <w:r>
        <w:separator/>
      </w:r>
    </w:p>
  </w:footnote>
  <w:footnote w:type="continuationSeparator" w:id="0">
    <w:p w:rsidR="00D44BE9" w:rsidRDefault="00D44BE9" w:rsidP="00875FE0">
      <w:r>
        <w:continuationSeparator/>
      </w:r>
    </w:p>
  </w:footnote>
  <w:footnote w:id="1">
    <w:p w:rsidR="00D44BE9" w:rsidRPr="005116B2" w:rsidRDefault="00D44BE9" w:rsidP="00416A72">
      <w:pPr>
        <w:rPr>
          <w:rStyle w:val="FootnoteReference"/>
        </w:rPr>
      </w:pPr>
      <w:r w:rsidRPr="005116B2">
        <w:rPr>
          <w:rStyle w:val="FootnoteReference"/>
          <w:sz w:val="18"/>
          <w:szCs w:val="18"/>
        </w:rPr>
        <w:footnoteRef/>
      </w:r>
      <w:r w:rsidRPr="005116B2">
        <w:rPr>
          <w:rStyle w:val="FootnoteReference"/>
          <w:sz w:val="18"/>
          <w:szCs w:val="18"/>
        </w:rPr>
        <w:t xml:space="preserve"> Edwards, R., Carter, K., Peace, J., &amp; Blakely, T. (2013). An examination of smoking initiation rates by age: Results from a large longitudinal study in New Zealand. </w:t>
      </w:r>
      <w:r w:rsidRPr="005116B2">
        <w:rPr>
          <w:rStyle w:val="FootnoteReference"/>
          <w:i/>
          <w:sz w:val="18"/>
          <w:szCs w:val="18"/>
        </w:rPr>
        <w:t>Australian and New Zealand Journal of Public Health</w:t>
      </w:r>
      <w:r w:rsidRPr="005116B2">
        <w:rPr>
          <w:rStyle w:val="FootnoteReference"/>
          <w:sz w:val="18"/>
          <w:szCs w:val="18"/>
        </w:rPr>
        <w:t>, 37, 516-519.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E9" w:rsidRDefault="00D44BE9" w:rsidP="00B00858">
    <w:pPr>
      <w:pStyle w:val="Header"/>
    </w:pPr>
    <w:r>
      <w:t>GOV0401</w:t>
    </w:r>
  </w:p>
  <w:p w:rsidR="00D44BE9" w:rsidRDefault="00D44BE9" w:rsidP="0085469A">
    <w:pPr>
      <w:pStyle w:val="zFileRef"/>
      <w:rPr>
        <w:noProof/>
      </w:rPr>
    </w:pPr>
  </w:p>
  <w:p w:rsidR="00D44BE9" w:rsidRDefault="00D44BE9" w:rsidP="0085469A">
    <w:pPr>
      <w:pStyle w:val="zFileRef"/>
      <w:rPr>
        <w:noProof/>
      </w:rPr>
    </w:pPr>
  </w:p>
  <w:p w:rsidR="00D44BE9" w:rsidRDefault="00D44BE9" w:rsidP="0085469A">
    <w:pPr>
      <w:pStyle w:val="zFileRef"/>
      <w:rPr>
        <w:noProof/>
      </w:rPr>
    </w:pPr>
    <w:r w:rsidRPr="0085469A">
      <w:rPr>
        <w:noProof/>
        <w:lang w:eastAsia="en-NZ"/>
      </w:rPr>
      <w:drawing>
        <wp:anchor distT="0" distB="0" distL="114300" distR="114300" simplePos="0" relativeHeight="251659264" behindDoc="0" locked="0" layoutInCell="1" allowOverlap="1">
          <wp:simplePos x="0" y="0"/>
          <wp:positionH relativeFrom="page">
            <wp:posOffset>5400675</wp:posOffset>
          </wp:positionH>
          <wp:positionV relativeFrom="page">
            <wp:posOffset>428625</wp:posOffset>
          </wp:positionV>
          <wp:extent cx="1619250" cy="1257300"/>
          <wp:effectExtent l="19050" t="0" r="0" b="0"/>
          <wp:wrapNone/>
          <wp:docPr id="3" name="Picture 2" descr="HPA Logo Vertic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A Logo Vertical BW"/>
                  <pic:cNvPicPr>
                    <a:picLocks noChangeAspect="1" noChangeArrowheads="1"/>
                  </pic:cNvPicPr>
                </pic:nvPicPr>
                <pic:blipFill>
                  <a:blip r:embed="rId1"/>
                  <a:srcRect/>
                  <a:stretch>
                    <a:fillRect/>
                  </a:stretch>
                </pic:blipFill>
                <pic:spPr bwMode="auto">
                  <a:xfrm>
                    <a:off x="0" y="0"/>
                    <a:ext cx="1619885" cy="1260475"/>
                  </a:xfrm>
                  <a:prstGeom prst="rect">
                    <a:avLst/>
                  </a:prstGeom>
                  <a:noFill/>
                  <a:ln w="9525">
                    <a:noFill/>
                    <a:miter lim="800000"/>
                    <a:headEnd/>
                    <a:tailEnd/>
                  </a:ln>
                </pic:spPr>
              </pic:pic>
            </a:graphicData>
          </a:graphic>
        </wp:anchor>
      </w:drawing>
    </w:r>
  </w:p>
  <w:p w:rsidR="00D44BE9" w:rsidRPr="002564AA" w:rsidRDefault="00D44BE9" w:rsidP="00530DE2">
    <w:pPr>
      <w:pStyle w:val="Heading4"/>
    </w:pPr>
    <w:r>
      <w:t>Briefing for incoming minister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nsid w:val="08E030E9"/>
    <w:multiLevelType w:val="multilevel"/>
    <w:tmpl w:val="3A4CE59E"/>
    <w:lvl w:ilvl="0">
      <w:start w:val="1"/>
      <w:numFmt w:val="bullet"/>
      <w:lvlText w:val=""/>
      <w:lvlJc w:val="left"/>
      <w:pPr>
        <w:ind w:left="709" w:hanging="709"/>
      </w:pPr>
      <w:rPr>
        <w:rFonts w:ascii="Symbol" w:hAnsi="Symbol"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2">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18355A0C"/>
    <w:multiLevelType w:val="multilevel"/>
    <w:tmpl w:val="B984A630"/>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4">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5">
    <w:nsid w:val="18F47192"/>
    <w:multiLevelType w:val="hybridMultilevel"/>
    <w:tmpl w:val="65E8E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D212877"/>
    <w:multiLevelType w:val="hybridMultilevel"/>
    <w:tmpl w:val="28FCD402"/>
    <w:lvl w:ilvl="0" w:tplc="B98A70FE">
      <w:start w:val="1"/>
      <w:numFmt w:val="lowerLetter"/>
      <w:pStyle w:val="Tablealphanumbering"/>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8711E2"/>
    <w:multiLevelType w:val="multilevel"/>
    <w:tmpl w:val="3A4CE59E"/>
    <w:lvl w:ilvl="0">
      <w:start w:val="1"/>
      <w:numFmt w:val="bullet"/>
      <w:lvlText w:val=""/>
      <w:lvlJc w:val="left"/>
      <w:pPr>
        <w:ind w:left="1418" w:hanging="709"/>
      </w:pPr>
      <w:rPr>
        <w:rFonts w:ascii="Symbol" w:hAnsi="Symbol" w:hint="default"/>
      </w:rPr>
    </w:lvl>
    <w:lvl w:ilvl="1">
      <w:start w:val="1"/>
      <w:numFmt w:val="decimal"/>
      <w:lvlText w:val="%1.%2"/>
      <w:lvlJc w:val="left"/>
      <w:pPr>
        <w:ind w:left="1418" w:hanging="709"/>
      </w:pPr>
      <w:rPr>
        <w:rFonts w:hint="default"/>
      </w:rPr>
    </w:lvl>
    <w:lvl w:ilvl="2">
      <w:start w:val="1"/>
      <w:numFmt w:val="decimal"/>
      <w:lvlText w:val="%1.%2.%3"/>
      <w:lvlJc w:val="left"/>
      <w:pPr>
        <w:ind w:left="1418" w:hanging="709"/>
      </w:pPr>
      <w:rPr>
        <w:rFonts w:hint="default"/>
      </w:rPr>
    </w:lvl>
    <w:lvl w:ilvl="3">
      <w:numFmt w:val="none"/>
      <w:lvlText w:val=""/>
      <w:lvlJc w:val="left"/>
      <w:pPr>
        <w:ind w:left="709" w:firstLine="0"/>
      </w:pPr>
      <w:rPr>
        <w:rFonts w:hint="default"/>
      </w:rPr>
    </w:lvl>
    <w:lvl w:ilvl="4">
      <w:start w:val="1"/>
      <w:numFmt w:val="none"/>
      <w:lvlText w:val=""/>
      <w:lvlJc w:val="left"/>
      <w:pPr>
        <w:tabs>
          <w:tab w:val="num" w:pos="709"/>
        </w:tabs>
        <w:ind w:left="709" w:firstLine="0"/>
      </w:pPr>
      <w:rPr>
        <w:rFonts w:hint="default"/>
      </w:rPr>
    </w:lvl>
    <w:lvl w:ilvl="5">
      <w:numFmt w:val="none"/>
      <w:lvlText w:val=""/>
      <w:lvlJc w:val="left"/>
      <w:pPr>
        <w:tabs>
          <w:tab w:val="num" w:pos="709"/>
        </w:tabs>
        <w:ind w:left="709" w:firstLine="0"/>
      </w:pPr>
      <w:rPr>
        <w:rFonts w:hint="default"/>
      </w:rPr>
    </w:lvl>
    <w:lvl w:ilvl="6">
      <w:numFmt w:val="none"/>
      <w:lvlText w:val=""/>
      <w:lvlJc w:val="left"/>
      <w:pPr>
        <w:tabs>
          <w:tab w:val="num" w:pos="709"/>
        </w:tabs>
        <w:ind w:left="709" w:firstLine="0"/>
      </w:pPr>
      <w:rPr>
        <w:rFonts w:hint="default"/>
      </w:rPr>
    </w:lvl>
    <w:lvl w:ilvl="7">
      <w:numFmt w:val="none"/>
      <w:lvlText w:val=""/>
      <w:lvlJc w:val="left"/>
      <w:pPr>
        <w:tabs>
          <w:tab w:val="num" w:pos="709"/>
        </w:tabs>
        <w:ind w:left="709" w:firstLine="0"/>
      </w:pPr>
      <w:rPr>
        <w:rFonts w:hint="default"/>
      </w:rPr>
    </w:lvl>
    <w:lvl w:ilvl="8">
      <w:numFmt w:val="none"/>
      <w:lvlText w:val=""/>
      <w:lvlJc w:val="left"/>
      <w:pPr>
        <w:ind w:left="709" w:firstLine="0"/>
      </w:pPr>
      <w:rPr>
        <w:rFonts w:hint="default"/>
      </w:rPr>
    </w:lvl>
  </w:abstractNum>
  <w:abstractNum w:abstractNumId="8">
    <w:nsid w:val="22363935"/>
    <w:multiLevelType w:val="multilevel"/>
    <w:tmpl w:val="A1945116"/>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224A3985"/>
    <w:multiLevelType w:val="hybridMultilevel"/>
    <w:tmpl w:val="D12E4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2E90EB5"/>
    <w:multiLevelType w:val="hybridMultilevel"/>
    <w:tmpl w:val="F15AC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13">
    <w:nsid w:val="30DF2604"/>
    <w:multiLevelType w:val="hybridMultilevel"/>
    <w:tmpl w:val="2898AB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6267F6E"/>
    <w:multiLevelType w:val="hybridMultilevel"/>
    <w:tmpl w:val="C708F73C"/>
    <w:lvl w:ilvl="0" w:tplc="14090001">
      <w:start w:val="1"/>
      <w:numFmt w:val="bullet"/>
      <w:lvlText w:val=""/>
      <w:lvlJc w:val="left"/>
      <w:pPr>
        <w:ind w:left="-207" w:hanging="360"/>
      </w:pPr>
      <w:rPr>
        <w:rFonts w:ascii="Symbol" w:hAnsi="Symbol" w:hint="default"/>
      </w:rPr>
    </w:lvl>
    <w:lvl w:ilvl="1" w:tplc="14090003" w:tentative="1">
      <w:start w:val="1"/>
      <w:numFmt w:val="bullet"/>
      <w:lvlText w:val="o"/>
      <w:lvlJc w:val="left"/>
      <w:pPr>
        <w:ind w:left="513" w:hanging="360"/>
      </w:pPr>
      <w:rPr>
        <w:rFonts w:ascii="Courier New" w:hAnsi="Courier New" w:cs="Courier New" w:hint="default"/>
      </w:rPr>
    </w:lvl>
    <w:lvl w:ilvl="2" w:tplc="14090005" w:tentative="1">
      <w:start w:val="1"/>
      <w:numFmt w:val="bullet"/>
      <w:lvlText w:val=""/>
      <w:lvlJc w:val="left"/>
      <w:pPr>
        <w:ind w:left="1233" w:hanging="360"/>
      </w:pPr>
      <w:rPr>
        <w:rFonts w:ascii="Wingdings" w:hAnsi="Wingdings" w:hint="default"/>
      </w:rPr>
    </w:lvl>
    <w:lvl w:ilvl="3" w:tplc="14090001" w:tentative="1">
      <w:start w:val="1"/>
      <w:numFmt w:val="bullet"/>
      <w:lvlText w:val=""/>
      <w:lvlJc w:val="left"/>
      <w:pPr>
        <w:ind w:left="1953" w:hanging="360"/>
      </w:pPr>
      <w:rPr>
        <w:rFonts w:ascii="Symbol" w:hAnsi="Symbol" w:hint="default"/>
      </w:rPr>
    </w:lvl>
    <w:lvl w:ilvl="4" w:tplc="14090003" w:tentative="1">
      <w:start w:val="1"/>
      <w:numFmt w:val="bullet"/>
      <w:lvlText w:val="o"/>
      <w:lvlJc w:val="left"/>
      <w:pPr>
        <w:ind w:left="2673" w:hanging="360"/>
      </w:pPr>
      <w:rPr>
        <w:rFonts w:ascii="Courier New" w:hAnsi="Courier New" w:cs="Courier New" w:hint="default"/>
      </w:rPr>
    </w:lvl>
    <w:lvl w:ilvl="5" w:tplc="14090005" w:tentative="1">
      <w:start w:val="1"/>
      <w:numFmt w:val="bullet"/>
      <w:lvlText w:val=""/>
      <w:lvlJc w:val="left"/>
      <w:pPr>
        <w:ind w:left="3393" w:hanging="360"/>
      </w:pPr>
      <w:rPr>
        <w:rFonts w:ascii="Wingdings" w:hAnsi="Wingdings" w:hint="default"/>
      </w:rPr>
    </w:lvl>
    <w:lvl w:ilvl="6" w:tplc="14090001" w:tentative="1">
      <w:start w:val="1"/>
      <w:numFmt w:val="bullet"/>
      <w:lvlText w:val=""/>
      <w:lvlJc w:val="left"/>
      <w:pPr>
        <w:ind w:left="4113" w:hanging="360"/>
      </w:pPr>
      <w:rPr>
        <w:rFonts w:ascii="Symbol" w:hAnsi="Symbol" w:hint="default"/>
      </w:rPr>
    </w:lvl>
    <w:lvl w:ilvl="7" w:tplc="14090003" w:tentative="1">
      <w:start w:val="1"/>
      <w:numFmt w:val="bullet"/>
      <w:lvlText w:val="o"/>
      <w:lvlJc w:val="left"/>
      <w:pPr>
        <w:ind w:left="4833" w:hanging="360"/>
      </w:pPr>
      <w:rPr>
        <w:rFonts w:ascii="Courier New" w:hAnsi="Courier New" w:cs="Courier New" w:hint="default"/>
      </w:rPr>
    </w:lvl>
    <w:lvl w:ilvl="8" w:tplc="14090005" w:tentative="1">
      <w:start w:val="1"/>
      <w:numFmt w:val="bullet"/>
      <w:lvlText w:val=""/>
      <w:lvlJc w:val="left"/>
      <w:pPr>
        <w:ind w:left="5553" w:hanging="360"/>
      </w:pPr>
      <w:rPr>
        <w:rFonts w:ascii="Wingdings" w:hAnsi="Wingdings" w:hint="default"/>
      </w:rPr>
    </w:lvl>
  </w:abstractNum>
  <w:abstractNum w:abstractNumId="15">
    <w:nsid w:val="6EB56C83"/>
    <w:multiLevelType w:val="hybridMultilevel"/>
    <w:tmpl w:val="5DBA2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2"/>
  </w:num>
  <w:num w:numId="5">
    <w:abstractNumId w:val="8"/>
  </w:num>
  <w:num w:numId="6">
    <w:abstractNumId w:val="4"/>
    <w:lvlOverride w:ilvl="0">
      <w:lvl w:ilvl="0">
        <w:numFmt w:val="decimal"/>
        <w:pStyle w:val="Heading1"/>
        <w:lvlText w:val=""/>
        <w:lvlJc w:val="left"/>
      </w:lvl>
    </w:lvlOverride>
    <w:lvlOverride w:ilvl="1">
      <w:lvl w:ilvl="1">
        <w:start w:val="1"/>
        <w:numFmt w:val="decimal"/>
        <w:pStyle w:val="Heading2"/>
        <w:lvlText w:val="%1.%2"/>
        <w:lvlJc w:val="left"/>
        <w:pPr>
          <w:ind w:left="709" w:hanging="709"/>
        </w:pPr>
        <w:rPr>
          <w:rFonts w:hint="default"/>
        </w:rPr>
      </w:lvl>
    </w:lvlOverride>
  </w:num>
  <w:num w:numId="7">
    <w:abstractNumId w:val="3"/>
  </w:num>
  <w:num w:numId="8">
    <w:abstractNumId w:val="12"/>
  </w:num>
  <w:num w:numId="9">
    <w:abstractNumId w:val="0"/>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4"/>
  </w:num>
  <w:num w:numId="18">
    <w:abstractNumId w:val="10"/>
  </w:num>
  <w:num w:numId="19">
    <w:abstractNumId w:val="5"/>
  </w:num>
  <w:num w:numId="20">
    <w:abstractNumId w:val="13"/>
  </w:num>
  <w:num w:numId="21">
    <w:abstractNumId w:val="9"/>
  </w:num>
  <w:num w:numId="22">
    <w:abstractNumId w:val="15"/>
  </w:num>
  <w:num w:numId="23">
    <w:abstractNumId w:val="8"/>
  </w:num>
  <w:num w:numId="24">
    <w:abstractNumId w:val="1"/>
  </w:num>
  <w:num w:numId="25">
    <w:abstractNumId w:val="8"/>
  </w:num>
  <w:num w:numId="26">
    <w:abstractNumId w:val="8"/>
  </w:num>
  <w:num w:numId="27">
    <w:abstractNumId w:val="7"/>
  </w:num>
  <w:num w:numId="28">
    <w:abstractNumId w:val="8"/>
  </w:num>
  <w:num w:numId="29">
    <w:abstractNumId w:val="8"/>
  </w:num>
  <w:num w:numId="3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4033"/>
  </w:hdrShapeDefaults>
  <w:footnotePr>
    <w:footnote w:id="-1"/>
    <w:footnote w:id="0"/>
  </w:footnotePr>
  <w:endnotePr>
    <w:endnote w:id="-1"/>
    <w:endnote w:id="0"/>
  </w:endnotePr>
  <w:compat/>
  <w:docVars>
    <w:docVar w:name="ClientID" w:val="146"/>
    <w:docVar w:name="IDInfo" w:val="F"/>
  </w:docVars>
  <w:rsids>
    <w:rsidRoot w:val="00C04E96"/>
    <w:rsid w:val="000017EC"/>
    <w:rsid w:val="00017CD0"/>
    <w:rsid w:val="00023296"/>
    <w:rsid w:val="000304E2"/>
    <w:rsid w:val="00033442"/>
    <w:rsid w:val="00047F99"/>
    <w:rsid w:val="00061C94"/>
    <w:rsid w:val="00062E26"/>
    <w:rsid w:val="000775A7"/>
    <w:rsid w:val="00085E1E"/>
    <w:rsid w:val="000933B8"/>
    <w:rsid w:val="00093C48"/>
    <w:rsid w:val="00094EB2"/>
    <w:rsid w:val="00095539"/>
    <w:rsid w:val="000B553C"/>
    <w:rsid w:val="000C42CA"/>
    <w:rsid w:val="000C4FA9"/>
    <w:rsid w:val="000C76CF"/>
    <w:rsid w:val="000D1A74"/>
    <w:rsid w:val="000D1D65"/>
    <w:rsid w:val="000D27B0"/>
    <w:rsid w:val="000D6E36"/>
    <w:rsid w:val="000E1BED"/>
    <w:rsid w:val="000E39C0"/>
    <w:rsid w:val="000F3E25"/>
    <w:rsid w:val="000F4183"/>
    <w:rsid w:val="00106414"/>
    <w:rsid w:val="00110884"/>
    <w:rsid w:val="001132E4"/>
    <w:rsid w:val="00114524"/>
    <w:rsid w:val="00114755"/>
    <w:rsid w:val="0011520C"/>
    <w:rsid w:val="0012069C"/>
    <w:rsid w:val="00146A44"/>
    <w:rsid w:val="00153D70"/>
    <w:rsid w:val="00163F13"/>
    <w:rsid w:val="00176298"/>
    <w:rsid w:val="00186973"/>
    <w:rsid w:val="00194DDF"/>
    <w:rsid w:val="0019743D"/>
    <w:rsid w:val="001C13DF"/>
    <w:rsid w:val="001D59D6"/>
    <w:rsid w:val="001D6CDC"/>
    <w:rsid w:val="001E5BF5"/>
    <w:rsid w:val="00203FA6"/>
    <w:rsid w:val="0022489C"/>
    <w:rsid w:val="00232F9A"/>
    <w:rsid w:val="002371D9"/>
    <w:rsid w:val="002645CE"/>
    <w:rsid w:val="0027692E"/>
    <w:rsid w:val="0028108F"/>
    <w:rsid w:val="0028711D"/>
    <w:rsid w:val="00293830"/>
    <w:rsid w:val="002952F3"/>
    <w:rsid w:val="00295860"/>
    <w:rsid w:val="002E661C"/>
    <w:rsid w:val="003019CC"/>
    <w:rsid w:val="00321D9C"/>
    <w:rsid w:val="0032679F"/>
    <w:rsid w:val="003330C0"/>
    <w:rsid w:val="003373F1"/>
    <w:rsid w:val="003379F4"/>
    <w:rsid w:val="00342D08"/>
    <w:rsid w:val="003640A9"/>
    <w:rsid w:val="00365ACF"/>
    <w:rsid w:val="00377076"/>
    <w:rsid w:val="003804D7"/>
    <w:rsid w:val="003863C0"/>
    <w:rsid w:val="00396393"/>
    <w:rsid w:val="003A0F01"/>
    <w:rsid w:val="003A3EC7"/>
    <w:rsid w:val="003A782E"/>
    <w:rsid w:val="003B677C"/>
    <w:rsid w:val="003D4878"/>
    <w:rsid w:val="003E7F7A"/>
    <w:rsid w:val="003F46C1"/>
    <w:rsid w:val="003F7AAD"/>
    <w:rsid w:val="00412121"/>
    <w:rsid w:val="00416A72"/>
    <w:rsid w:val="00453E23"/>
    <w:rsid w:val="0046701F"/>
    <w:rsid w:val="00472ADF"/>
    <w:rsid w:val="004742D8"/>
    <w:rsid w:val="00477AB6"/>
    <w:rsid w:val="00482C7D"/>
    <w:rsid w:val="00493838"/>
    <w:rsid w:val="004A14D6"/>
    <w:rsid w:val="004A31C1"/>
    <w:rsid w:val="004A38C8"/>
    <w:rsid w:val="004A53A8"/>
    <w:rsid w:val="004C0499"/>
    <w:rsid w:val="004E0D64"/>
    <w:rsid w:val="004F7C19"/>
    <w:rsid w:val="00502B66"/>
    <w:rsid w:val="005138FF"/>
    <w:rsid w:val="00514AE4"/>
    <w:rsid w:val="005217D7"/>
    <w:rsid w:val="005305F9"/>
    <w:rsid w:val="00530DE2"/>
    <w:rsid w:val="00533A3D"/>
    <w:rsid w:val="0054341D"/>
    <w:rsid w:val="00547B1E"/>
    <w:rsid w:val="00553D13"/>
    <w:rsid w:val="00593934"/>
    <w:rsid w:val="005977DB"/>
    <w:rsid w:val="005A5900"/>
    <w:rsid w:val="005B70F2"/>
    <w:rsid w:val="005B7B55"/>
    <w:rsid w:val="005E57DC"/>
    <w:rsid w:val="005F269A"/>
    <w:rsid w:val="0060138D"/>
    <w:rsid w:val="00606EE3"/>
    <w:rsid w:val="00607534"/>
    <w:rsid w:val="0061350A"/>
    <w:rsid w:val="00620134"/>
    <w:rsid w:val="00624725"/>
    <w:rsid w:val="00625813"/>
    <w:rsid w:val="006329FB"/>
    <w:rsid w:val="00635D1E"/>
    <w:rsid w:val="006433BD"/>
    <w:rsid w:val="00653FBD"/>
    <w:rsid w:val="00664A36"/>
    <w:rsid w:val="00677B68"/>
    <w:rsid w:val="00686A0A"/>
    <w:rsid w:val="00696861"/>
    <w:rsid w:val="006A6C67"/>
    <w:rsid w:val="006B21EF"/>
    <w:rsid w:val="006B558F"/>
    <w:rsid w:val="006B6CEF"/>
    <w:rsid w:val="00717239"/>
    <w:rsid w:val="007177BA"/>
    <w:rsid w:val="00721FA3"/>
    <w:rsid w:val="00741563"/>
    <w:rsid w:val="00741F70"/>
    <w:rsid w:val="00760021"/>
    <w:rsid w:val="00764AF5"/>
    <w:rsid w:val="00764CA3"/>
    <w:rsid w:val="007661AE"/>
    <w:rsid w:val="00770A3F"/>
    <w:rsid w:val="00785301"/>
    <w:rsid w:val="00797159"/>
    <w:rsid w:val="007E22F8"/>
    <w:rsid w:val="007E7AED"/>
    <w:rsid w:val="007F11A4"/>
    <w:rsid w:val="007F5F89"/>
    <w:rsid w:val="007F71A2"/>
    <w:rsid w:val="008149D4"/>
    <w:rsid w:val="00814F07"/>
    <w:rsid w:val="008228C7"/>
    <w:rsid w:val="00834C1E"/>
    <w:rsid w:val="0085278C"/>
    <w:rsid w:val="0085469A"/>
    <w:rsid w:val="008571F6"/>
    <w:rsid w:val="00862A9D"/>
    <w:rsid w:val="00875FE0"/>
    <w:rsid w:val="0088205E"/>
    <w:rsid w:val="00887A8B"/>
    <w:rsid w:val="008901FE"/>
    <w:rsid w:val="008B01E3"/>
    <w:rsid w:val="008C10AF"/>
    <w:rsid w:val="008C4068"/>
    <w:rsid w:val="008C529A"/>
    <w:rsid w:val="008D50F0"/>
    <w:rsid w:val="008D7EBE"/>
    <w:rsid w:val="008E2080"/>
    <w:rsid w:val="008E348D"/>
    <w:rsid w:val="008F01DD"/>
    <w:rsid w:val="00913F25"/>
    <w:rsid w:val="00927151"/>
    <w:rsid w:val="0093746F"/>
    <w:rsid w:val="00937A43"/>
    <w:rsid w:val="0096780E"/>
    <w:rsid w:val="00975881"/>
    <w:rsid w:val="009878E1"/>
    <w:rsid w:val="0099109E"/>
    <w:rsid w:val="00994237"/>
    <w:rsid w:val="009A5D5B"/>
    <w:rsid w:val="009B5ED0"/>
    <w:rsid w:val="009D62E1"/>
    <w:rsid w:val="009D7D38"/>
    <w:rsid w:val="009F2089"/>
    <w:rsid w:val="009F792A"/>
    <w:rsid w:val="00A1316F"/>
    <w:rsid w:val="00A274EE"/>
    <w:rsid w:val="00A34E7D"/>
    <w:rsid w:val="00A46168"/>
    <w:rsid w:val="00A46CC5"/>
    <w:rsid w:val="00A6250B"/>
    <w:rsid w:val="00A8334C"/>
    <w:rsid w:val="00A8419C"/>
    <w:rsid w:val="00A914DE"/>
    <w:rsid w:val="00AD273C"/>
    <w:rsid w:val="00AD4F34"/>
    <w:rsid w:val="00AE07F6"/>
    <w:rsid w:val="00AE2E73"/>
    <w:rsid w:val="00AE5593"/>
    <w:rsid w:val="00B00673"/>
    <w:rsid w:val="00B00858"/>
    <w:rsid w:val="00B05322"/>
    <w:rsid w:val="00B32275"/>
    <w:rsid w:val="00B327E8"/>
    <w:rsid w:val="00B429D4"/>
    <w:rsid w:val="00B730DA"/>
    <w:rsid w:val="00B7488A"/>
    <w:rsid w:val="00B86CFA"/>
    <w:rsid w:val="00B87673"/>
    <w:rsid w:val="00B9084D"/>
    <w:rsid w:val="00B92726"/>
    <w:rsid w:val="00BB099E"/>
    <w:rsid w:val="00BC1CA6"/>
    <w:rsid w:val="00BF2797"/>
    <w:rsid w:val="00BF5021"/>
    <w:rsid w:val="00C0380E"/>
    <w:rsid w:val="00C043DD"/>
    <w:rsid w:val="00C04A24"/>
    <w:rsid w:val="00C04E96"/>
    <w:rsid w:val="00C23CCA"/>
    <w:rsid w:val="00C2585E"/>
    <w:rsid w:val="00C32174"/>
    <w:rsid w:val="00C33FFC"/>
    <w:rsid w:val="00C35D5A"/>
    <w:rsid w:val="00C47654"/>
    <w:rsid w:val="00C56208"/>
    <w:rsid w:val="00C63BA4"/>
    <w:rsid w:val="00C646B9"/>
    <w:rsid w:val="00C663B4"/>
    <w:rsid w:val="00C6646F"/>
    <w:rsid w:val="00C90104"/>
    <w:rsid w:val="00CC3813"/>
    <w:rsid w:val="00CC3BFA"/>
    <w:rsid w:val="00CD0436"/>
    <w:rsid w:val="00CD1C6F"/>
    <w:rsid w:val="00CD3EA5"/>
    <w:rsid w:val="00CF1E30"/>
    <w:rsid w:val="00CF6BBD"/>
    <w:rsid w:val="00CF6EEC"/>
    <w:rsid w:val="00D01871"/>
    <w:rsid w:val="00D03E04"/>
    <w:rsid w:val="00D12364"/>
    <w:rsid w:val="00D13689"/>
    <w:rsid w:val="00D16379"/>
    <w:rsid w:val="00D44BE9"/>
    <w:rsid w:val="00D533DC"/>
    <w:rsid w:val="00D57E85"/>
    <w:rsid w:val="00D61D44"/>
    <w:rsid w:val="00D73A6D"/>
    <w:rsid w:val="00D81A30"/>
    <w:rsid w:val="00D91985"/>
    <w:rsid w:val="00D945AB"/>
    <w:rsid w:val="00D9636A"/>
    <w:rsid w:val="00DC0DC9"/>
    <w:rsid w:val="00DC1E99"/>
    <w:rsid w:val="00DC6DDC"/>
    <w:rsid w:val="00DD7FD8"/>
    <w:rsid w:val="00DE1015"/>
    <w:rsid w:val="00DE30D0"/>
    <w:rsid w:val="00DE7A85"/>
    <w:rsid w:val="00E076CB"/>
    <w:rsid w:val="00E13B91"/>
    <w:rsid w:val="00E23680"/>
    <w:rsid w:val="00E32D02"/>
    <w:rsid w:val="00E335AC"/>
    <w:rsid w:val="00E55DF2"/>
    <w:rsid w:val="00E56A11"/>
    <w:rsid w:val="00E64500"/>
    <w:rsid w:val="00E70900"/>
    <w:rsid w:val="00E77A0F"/>
    <w:rsid w:val="00E8074A"/>
    <w:rsid w:val="00E856F4"/>
    <w:rsid w:val="00E95B4E"/>
    <w:rsid w:val="00EA0300"/>
    <w:rsid w:val="00ED1E04"/>
    <w:rsid w:val="00EE2617"/>
    <w:rsid w:val="00EE63D3"/>
    <w:rsid w:val="00EF1B18"/>
    <w:rsid w:val="00EF4783"/>
    <w:rsid w:val="00F01D06"/>
    <w:rsid w:val="00F11B5D"/>
    <w:rsid w:val="00F44972"/>
    <w:rsid w:val="00F44F97"/>
    <w:rsid w:val="00F46BBF"/>
    <w:rsid w:val="00F63974"/>
    <w:rsid w:val="00F665D3"/>
    <w:rsid w:val="00FB31AA"/>
    <w:rsid w:val="00FB68AB"/>
    <w:rsid w:val="00FC6F62"/>
    <w:rsid w:val="00FC7616"/>
    <w:rsid w:val="00FD06D7"/>
    <w:rsid w:val="00FE2D4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19" w:qFormat="1"/>
    <w:lsdException w:name="heading 1" w:semiHidden="0" w:uiPriority="1" w:qFormat="1"/>
    <w:lsdException w:name="heading 2" w:semiHidden="0" w:uiPriority="2" w:qFormat="1"/>
    <w:lsdException w:name="heading 3" w:semiHidden="0" w:uiPriority="3" w:qFormat="1"/>
    <w:lsdException w:name="heading 4" w:semiHidden="0" w:uiPriority="4" w:qFormat="1"/>
    <w:lsdException w:name="heading 5" w:semiHidden="0" w:uiPriority="5" w:qFormat="1"/>
    <w:lsdException w:name="heading 6" w:uiPriority="6" w:qFormat="1"/>
    <w:lsdException w:name="heading 7" w:uiPriority="7" w:qFormat="1"/>
    <w:lsdException w:name="heading 8" w:uiPriority="8"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semiHidden="0" w:uiPriority="39"/>
    <w:lsdException w:name="toc 6" w:semiHidden="0"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unhideWhenUsed="1"/>
    <w:lsdException w:name="Body Text" w:uiPriority="0"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19"/>
    <w:qFormat/>
    <w:rsid w:val="00530DE2"/>
    <w:pPr>
      <w:spacing w:after="0" w:line="240" w:lineRule="auto"/>
    </w:pPr>
    <w:rPr>
      <w:rFonts w:ascii="Arial" w:hAnsi="Arial"/>
    </w:rPr>
  </w:style>
  <w:style w:type="paragraph" w:styleId="Heading1">
    <w:name w:val="heading 1"/>
    <w:aliases w:val="H 1"/>
    <w:basedOn w:val="BodyText"/>
    <w:next w:val="BodyText"/>
    <w:link w:val="Heading1Char"/>
    <w:uiPriority w:val="1"/>
    <w:qFormat/>
    <w:rsid w:val="00D9636A"/>
    <w:pPr>
      <w:keepNext/>
      <w:keepLines/>
      <w:numPr>
        <w:numId w:val="1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530DE2"/>
    <w:pPr>
      <w:keepNext/>
      <w:keepLines/>
      <w:numPr>
        <w:ilvl w:val="1"/>
        <w:numId w:val="1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530DE2"/>
    <w:pPr>
      <w:keepNext/>
      <w:keepLines/>
      <w:numPr>
        <w:ilvl w:val="2"/>
        <w:numId w:val="1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B86CFA"/>
    <w:pPr>
      <w:keepLines w:val="0"/>
      <w:numPr>
        <w:numId w:val="0"/>
      </w:numPr>
      <w:outlineLvl w:val="3"/>
    </w:pPr>
    <w:rPr>
      <w:iCs/>
    </w:rPr>
  </w:style>
  <w:style w:type="paragraph" w:styleId="Heading5">
    <w:name w:val="heading 5"/>
    <w:aliases w:val="Head 2"/>
    <w:basedOn w:val="Heading2"/>
    <w:next w:val="BodyText"/>
    <w:link w:val="Heading5Char"/>
    <w:uiPriority w:val="5"/>
    <w:qFormat/>
    <w:rsid w:val="00530DE2"/>
    <w:pPr>
      <w:numPr>
        <w:ilvl w:val="0"/>
        <w:numId w:val="0"/>
      </w:numPr>
      <w:outlineLvl w:val="4"/>
    </w:pPr>
  </w:style>
  <w:style w:type="paragraph" w:styleId="Heading6">
    <w:name w:val="heading 6"/>
    <w:aliases w:val="Head 3"/>
    <w:basedOn w:val="Heading3"/>
    <w:next w:val="BodyText"/>
    <w:link w:val="Heading6Char"/>
    <w:uiPriority w:val="6"/>
    <w:qFormat/>
    <w:rsid w:val="00530DE2"/>
    <w:pPr>
      <w:numPr>
        <w:ilvl w:val="0"/>
        <w:numId w:val="0"/>
      </w:numPr>
      <w:outlineLvl w:val="5"/>
    </w:pPr>
    <w:rPr>
      <w:iCs/>
    </w:rPr>
  </w:style>
  <w:style w:type="paragraph" w:styleId="Heading7">
    <w:name w:val="heading 7"/>
    <w:aliases w:val="Head 4"/>
    <w:basedOn w:val="BodyText"/>
    <w:next w:val="BodyText"/>
    <w:link w:val="Heading7Char"/>
    <w:uiPriority w:val="7"/>
    <w:qFormat/>
    <w:rsid w:val="00530DE2"/>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530DE2"/>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530DE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30DE2"/>
    <w:pPr>
      <w:spacing w:after="240" w:line="320" w:lineRule="atLeast"/>
    </w:pPr>
  </w:style>
  <w:style w:type="character" w:customStyle="1" w:styleId="BodyTextChar">
    <w:name w:val="Body Text Char"/>
    <w:basedOn w:val="DefaultParagraphFont"/>
    <w:link w:val="BodyText"/>
    <w:rsid w:val="00D12364"/>
    <w:rPr>
      <w:rFonts w:ascii="Arial" w:hAnsi="Arial"/>
    </w:rPr>
  </w:style>
  <w:style w:type="paragraph" w:customStyle="1" w:styleId="123">
    <w:name w:val="1 2 3"/>
    <w:basedOn w:val="BodyText"/>
    <w:uiPriority w:val="14"/>
    <w:qFormat/>
    <w:rsid w:val="00377076"/>
    <w:pPr>
      <w:numPr>
        <w:numId w:val="8"/>
      </w:numPr>
      <w:spacing w:after="120" w:line="240" w:lineRule="atLeast"/>
    </w:pPr>
  </w:style>
  <w:style w:type="paragraph" w:customStyle="1" w:styleId="ABC">
    <w:name w:val="A B C"/>
    <w:basedOn w:val="BodyText"/>
    <w:uiPriority w:val="15"/>
    <w:qFormat/>
    <w:rsid w:val="00377076"/>
    <w:pPr>
      <w:numPr>
        <w:numId w:val="7"/>
      </w:numPr>
      <w:spacing w:after="120" w:line="240" w:lineRule="atLeast"/>
    </w:pPr>
  </w:style>
  <w:style w:type="paragraph" w:customStyle="1" w:styleId="AppendixHeading1">
    <w:name w:val="Appendix Heading 1"/>
    <w:basedOn w:val="Heading4"/>
    <w:next w:val="BodyText"/>
    <w:uiPriority w:val="20"/>
    <w:qFormat/>
    <w:rsid w:val="00B86CFA"/>
    <w:pPr>
      <w:pageBreakBefore/>
      <w:numPr>
        <w:numId w:val="3"/>
      </w:numPr>
    </w:pPr>
  </w:style>
  <w:style w:type="numbering" w:customStyle="1" w:styleId="AlphaList">
    <w:name w:val="AlphaList"/>
    <w:basedOn w:val="NoList"/>
    <w:uiPriority w:val="99"/>
    <w:rsid w:val="00530DE2"/>
    <w:pPr>
      <w:numPr>
        <w:numId w:val="2"/>
      </w:numPr>
    </w:pPr>
  </w:style>
  <w:style w:type="paragraph" w:styleId="TOC6">
    <w:name w:val="toc 6"/>
    <w:basedOn w:val="BodyText"/>
    <w:next w:val="TOC7"/>
    <w:autoRedefine/>
    <w:uiPriority w:val="39"/>
    <w:semiHidden/>
    <w:rsid w:val="00530DE2"/>
    <w:pPr>
      <w:tabs>
        <w:tab w:val="left" w:pos="709"/>
        <w:tab w:val="right" w:leader="dot" w:pos="9072"/>
      </w:tabs>
      <w:spacing w:after="100"/>
      <w:ind w:left="709" w:right="567" w:hanging="709"/>
    </w:pPr>
    <w:rPr>
      <w:i/>
    </w:rPr>
  </w:style>
  <w:style w:type="numbering" w:customStyle="1" w:styleId="AppendixList">
    <w:name w:val="Appendix List"/>
    <w:basedOn w:val="NoList"/>
    <w:uiPriority w:val="99"/>
    <w:rsid w:val="00530DE2"/>
    <w:pPr>
      <w:numPr>
        <w:numId w:val="3"/>
      </w:numPr>
    </w:pPr>
  </w:style>
  <w:style w:type="paragraph" w:customStyle="1" w:styleId="Bullet1">
    <w:name w:val="Bullet 1"/>
    <w:basedOn w:val="BodyText"/>
    <w:uiPriority w:val="12"/>
    <w:qFormat/>
    <w:rsid w:val="00377076"/>
    <w:pPr>
      <w:numPr>
        <w:numId w:val="5"/>
      </w:numPr>
      <w:spacing w:after="120" w:line="240" w:lineRule="atLeast"/>
    </w:pPr>
  </w:style>
  <w:style w:type="paragraph" w:customStyle="1" w:styleId="Bullet2">
    <w:name w:val="Bullet 2"/>
    <w:basedOn w:val="BodyText"/>
    <w:uiPriority w:val="13"/>
    <w:qFormat/>
    <w:rsid w:val="00377076"/>
    <w:pPr>
      <w:numPr>
        <w:ilvl w:val="1"/>
        <w:numId w:val="5"/>
      </w:numPr>
      <w:spacing w:after="120" w:line="240" w:lineRule="atLeast"/>
    </w:pPr>
  </w:style>
  <w:style w:type="numbering" w:customStyle="1" w:styleId="BulletList">
    <w:name w:val="BulletList"/>
    <w:basedOn w:val="NoList"/>
    <w:uiPriority w:val="99"/>
    <w:rsid w:val="00530DE2"/>
    <w:pPr>
      <w:numPr>
        <w:numId w:val="5"/>
      </w:numPr>
    </w:pPr>
  </w:style>
  <w:style w:type="numbering" w:customStyle="1" w:styleId="NumericList">
    <w:name w:val="NumericList"/>
    <w:basedOn w:val="NoList"/>
    <w:uiPriority w:val="99"/>
    <w:rsid w:val="00530DE2"/>
    <w:pPr>
      <w:numPr>
        <w:numId w:val="8"/>
      </w:numPr>
    </w:pPr>
  </w:style>
  <w:style w:type="character" w:customStyle="1" w:styleId="Heading1Char">
    <w:name w:val="Heading 1 Char"/>
    <w:aliases w:val="H 1 Char"/>
    <w:basedOn w:val="DefaultParagraphFont"/>
    <w:link w:val="Heading1"/>
    <w:uiPriority w:val="1"/>
    <w:rsid w:val="00B86CFA"/>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B86CFA"/>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AppendixHeading2">
    <w:name w:val="Appendix Heading 2"/>
    <w:basedOn w:val="Heading5"/>
    <w:next w:val="BodyText"/>
    <w:uiPriority w:val="21"/>
    <w:qFormat/>
    <w:rsid w:val="00530DE2"/>
  </w:style>
  <w:style w:type="paragraph" w:styleId="TOC3">
    <w:name w:val="toc 3"/>
    <w:basedOn w:val="BodyText"/>
    <w:next w:val="TOC4"/>
    <w:autoRedefine/>
    <w:uiPriority w:val="39"/>
    <w:semiHidden/>
    <w:rsid w:val="00530DE2"/>
    <w:pPr>
      <w:tabs>
        <w:tab w:val="left" w:pos="709"/>
        <w:tab w:val="right" w:leader="dot" w:pos="9072"/>
      </w:tabs>
      <w:spacing w:after="100"/>
      <w:ind w:right="567"/>
    </w:pPr>
    <w:rPr>
      <w:i/>
    </w:rPr>
  </w:style>
  <w:style w:type="paragraph" w:styleId="TOC1">
    <w:name w:val="toc 1"/>
    <w:basedOn w:val="BodyText"/>
    <w:next w:val="TOC2"/>
    <w:autoRedefine/>
    <w:uiPriority w:val="39"/>
    <w:semiHidden/>
    <w:rsid w:val="00530DE2"/>
    <w:pPr>
      <w:numPr>
        <w:numId w:val="9"/>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530DE2"/>
    <w:pPr>
      <w:tabs>
        <w:tab w:val="left" w:pos="709"/>
        <w:tab w:val="right" w:leader="dot" w:pos="9072"/>
      </w:tabs>
      <w:spacing w:after="100"/>
      <w:ind w:right="567"/>
    </w:pPr>
  </w:style>
  <w:style w:type="paragraph" w:customStyle="1" w:styleId="zSource">
    <w:name w:val="z_Source"/>
    <w:basedOn w:val="BodyText"/>
    <w:next w:val="BodyText"/>
    <w:uiPriority w:val="19"/>
    <w:semiHidden/>
    <w:rsid w:val="00530DE2"/>
    <w:pPr>
      <w:spacing w:before="180" w:after="180"/>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834C1E"/>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530DE2"/>
    <w:pPr>
      <w:numPr>
        <w:numId w:val="4"/>
      </w:numPr>
    </w:pPr>
  </w:style>
  <w:style w:type="paragraph" w:customStyle="1" w:styleId="AppendixHeading3">
    <w:name w:val="Appendix Heading 3"/>
    <w:basedOn w:val="Heading6"/>
    <w:next w:val="BodyText"/>
    <w:uiPriority w:val="22"/>
    <w:qFormat/>
    <w:rsid w:val="00530DE2"/>
  </w:style>
  <w:style w:type="paragraph" w:customStyle="1" w:styleId="iiiiii">
    <w:name w:val="i ii iii"/>
    <w:basedOn w:val="Normal"/>
    <w:uiPriority w:val="19"/>
    <w:qFormat/>
    <w:rsid w:val="00377076"/>
    <w:pPr>
      <w:numPr>
        <w:ilvl w:val="1"/>
        <w:numId w:val="7"/>
      </w:numPr>
      <w:spacing w:after="120" w:line="240" w:lineRule="atLeast"/>
    </w:pPr>
  </w:style>
  <w:style w:type="paragraph" w:customStyle="1" w:styleId="zTOCHeading">
    <w:name w:val="z_TOC Heading"/>
    <w:basedOn w:val="BodyText"/>
    <w:next w:val="Normal"/>
    <w:uiPriority w:val="19"/>
    <w:semiHidden/>
    <w:rsid w:val="00530DE2"/>
    <w:pPr>
      <w:pBdr>
        <w:bottom w:val="single" w:sz="8" w:space="12" w:color="auto"/>
      </w:pBdr>
      <w:spacing w:before="360"/>
    </w:pPr>
    <w:rPr>
      <w:caps/>
      <w:sz w:val="32"/>
    </w:rPr>
  </w:style>
  <w:style w:type="numbering" w:customStyle="1" w:styleId="H1List">
    <w:name w:val="H1_List"/>
    <w:basedOn w:val="NoList"/>
    <w:uiPriority w:val="99"/>
    <w:rsid w:val="00D9636A"/>
    <w:pPr>
      <w:numPr>
        <w:numId w:val="10"/>
      </w:numPr>
    </w:pPr>
  </w:style>
  <w:style w:type="paragraph" w:styleId="Header">
    <w:name w:val="header"/>
    <w:basedOn w:val="Normal"/>
    <w:link w:val="HeaderChar"/>
    <w:uiPriority w:val="99"/>
    <w:semiHidden/>
    <w:rsid w:val="00B00858"/>
    <w:pPr>
      <w:tabs>
        <w:tab w:val="center" w:pos="4513"/>
        <w:tab w:val="right" w:pos="9026"/>
      </w:tabs>
    </w:pPr>
    <w:rPr>
      <w:sz w:val="20"/>
    </w:rPr>
  </w:style>
  <w:style w:type="character" w:customStyle="1" w:styleId="HeaderChar">
    <w:name w:val="Header Char"/>
    <w:basedOn w:val="DefaultParagraphFont"/>
    <w:link w:val="Header"/>
    <w:uiPriority w:val="99"/>
    <w:semiHidden/>
    <w:rsid w:val="00B00858"/>
    <w:rPr>
      <w:rFonts w:ascii="Arial" w:hAnsi="Arial"/>
      <w:sz w:val="20"/>
    </w:rPr>
  </w:style>
  <w:style w:type="paragraph" w:styleId="Footer">
    <w:name w:val="footer"/>
    <w:basedOn w:val="Normal"/>
    <w:link w:val="FooterChar"/>
    <w:uiPriority w:val="99"/>
    <w:rsid w:val="00530DE2"/>
    <w:pPr>
      <w:tabs>
        <w:tab w:val="center" w:pos="4513"/>
        <w:tab w:val="right" w:pos="9026"/>
      </w:tabs>
    </w:pPr>
    <w:rPr>
      <w:sz w:val="18"/>
    </w:rPr>
  </w:style>
  <w:style w:type="character" w:customStyle="1" w:styleId="FooterChar">
    <w:name w:val="Footer Char"/>
    <w:basedOn w:val="DefaultParagraphFont"/>
    <w:link w:val="Footer"/>
    <w:uiPriority w:val="99"/>
    <w:rsid w:val="008D50F0"/>
    <w:rPr>
      <w:rFonts w:ascii="Arial" w:hAnsi="Arial"/>
      <w:sz w:val="18"/>
    </w:rPr>
  </w:style>
  <w:style w:type="paragraph" w:styleId="TOC7">
    <w:name w:val="toc 7"/>
    <w:basedOn w:val="BodyText"/>
    <w:next w:val="Normal"/>
    <w:autoRedefine/>
    <w:uiPriority w:val="39"/>
    <w:semiHidden/>
    <w:rsid w:val="00530DE2"/>
    <w:pPr>
      <w:tabs>
        <w:tab w:val="left" w:pos="1418"/>
        <w:tab w:val="right" w:leader="dot" w:pos="9072"/>
      </w:tabs>
      <w:spacing w:after="60"/>
      <w:ind w:left="1418" w:right="567" w:hanging="1418"/>
    </w:pPr>
    <w:rPr>
      <w:b/>
    </w:rPr>
  </w:style>
  <w:style w:type="paragraph" w:styleId="TOC4">
    <w:name w:val="toc 4"/>
    <w:basedOn w:val="BodyText"/>
    <w:next w:val="TOC5"/>
    <w:autoRedefine/>
    <w:uiPriority w:val="39"/>
    <w:semiHidden/>
    <w:rsid w:val="00530DE2"/>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530DE2"/>
    <w:pPr>
      <w:tabs>
        <w:tab w:val="left" w:pos="709"/>
        <w:tab w:val="right" w:leader="dot" w:pos="9072"/>
      </w:tabs>
      <w:spacing w:after="100"/>
      <w:ind w:left="709" w:right="567" w:hanging="709"/>
    </w:pPr>
  </w:style>
  <w:style w:type="character" w:styleId="Hyperlink">
    <w:name w:val="Hyperlink"/>
    <w:basedOn w:val="DefaultParagraphFont"/>
    <w:uiPriority w:val="99"/>
    <w:semiHidden/>
    <w:rsid w:val="00530DE2"/>
    <w:rPr>
      <w:color w:val="0000FF" w:themeColor="hyperlink"/>
      <w:u w:val="single"/>
    </w:rPr>
  </w:style>
  <w:style w:type="paragraph" w:customStyle="1" w:styleId="zContactDetails">
    <w:name w:val="z_Contact Details"/>
    <w:basedOn w:val="Normal"/>
    <w:semiHidden/>
    <w:rsid w:val="00B86CFA"/>
    <w:pPr>
      <w:spacing w:after="120" w:line="240" w:lineRule="atLeast"/>
    </w:pPr>
  </w:style>
  <w:style w:type="paragraph" w:customStyle="1" w:styleId="zContactHeadings">
    <w:name w:val="z_Contact Headings"/>
    <w:basedOn w:val="Normal"/>
    <w:link w:val="zContactHeadingsChar"/>
    <w:semiHidden/>
    <w:rsid w:val="00B86CFA"/>
    <w:pPr>
      <w:spacing w:after="120" w:line="240" w:lineRule="atLeast"/>
    </w:pPr>
    <w:rPr>
      <w:caps/>
    </w:rPr>
  </w:style>
  <w:style w:type="paragraph" w:customStyle="1" w:styleId="zForYour">
    <w:name w:val="z_For Your"/>
    <w:basedOn w:val="BodyText"/>
    <w:autoRedefine/>
    <w:semiHidden/>
    <w:rsid w:val="00E335AC"/>
    <w:pPr>
      <w:pBdr>
        <w:bottom w:val="single" w:sz="8" w:space="1" w:color="auto"/>
      </w:pBdr>
      <w:spacing w:line="240" w:lineRule="auto"/>
    </w:pPr>
    <w:rPr>
      <w:rFonts w:eastAsia="Times New Roman" w:cs="Times New Roman"/>
      <w:caps/>
      <w:sz w:val="2"/>
      <w:szCs w:val="24"/>
      <w:lang w:eastAsia="en-GB"/>
    </w:rPr>
  </w:style>
  <w:style w:type="paragraph" w:customStyle="1" w:styleId="zSignOffAuthor">
    <w:name w:val="z_Sign Off Author"/>
    <w:basedOn w:val="BodyText"/>
    <w:semiHidden/>
    <w:rsid w:val="004F7C19"/>
    <w:pPr>
      <w:keepNext/>
      <w:spacing w:after="0"/>
      <w:jc w:val="both"/>
    </w:pPr>
    <w:rPr>
      <w:rFonts w:eastAsia="Times New Roman" w:cs="Times New Roman"/>
      <w:szCs w:val="24"/>
      <w:lang w:eastAsia="en-GB"/>
    </w:rPr>
  </w:style>
  <w:style w:type="paragraph" w:customStyle="1" w:styleId="zSignOffBlock">
    <w:name w:val="z_Sign Off Block"/>
    <w:basedOn w:val="Normal"/>
    <w:semiHidden/>
    <w:rsid w:val="0085469A"/>
  </w:style>
  <w:style w:type="paragraph" w:customStyle="1" w:styleId="zSignOffOrganisation">
    <w:name w:val="z_Sign Off Organisation"/>
    <w:basedOn w:val="BodyText"/>
    <w:next w:val="zSignOffAuthor"/>
    <w:semiHidden/>
    <w:rsid w:val="004F7C19"/>
    <w:pPr>
      <w:spacing w:after="0"/>
      <w:jc w:val="both"/>
    </w:pPr>
    <w:rPr>
      <w:rFonts w:eastAsia="Times New Roman" w:cs="Times New Roman"/>
      <w:szCs w:val="24"/>
      <w:lang w:eastAsia="en-GB"/>
    </w:rPr>
  </w:style>
  <w:style w:type="paragraph" w:customStyle="1" w:styleId="Tablealphanumbering">
    <w:name w:val="Table alpha numbering"/>
    <w:basedOn w:val="BodyText"/>
    <w:semiHidden/>
    <w:rsid w:val="004F7C19"/>
    <w:pPr>
      <w:numPr>
        <w:numId w:val="1"/>
      </w:numPr>
      <w:jc w:val="both"/>
    </w:pPr>
    <w:rPr>
      <w:rFonts w:eastAsia="Times New Roman" w:cs="Times New Roman"/>
      <w:szCs w:val="24"/>
      <w:lang w:eastAsia="en-GB"/>
    </w:rPr>
  </w:style>
  <w:style w:type="paragraph" w:customStyle="1" w:styleId="zAuthor">
    <w:name w:val="z_Author"/>
    <w:basedOn w:val="BodyText"/>
    <w:semiHidden/>
    <w:rsid w:val="004F7C19"/>
    <w:pPr>
      <w:keepNext/>
      <w:spacing w:before="960" w:after="0"/>
      <w:jc w:val="both"/>
    </w:pPr>
    <w:rPr>
      <w:rFonts w:eastAsia="Times New Roman" w:cs="Times New Roman"/>
      <w:szCs w:val="24"/>
      <w:lang w:eastAsia="en-GB"/>
    </w:rPr>
  </w:style>
  <w:style w:type="paragraph" w:customStyle="1" w:styleId="zAddressDetails">
    <w:name w:val="z_Address Details"/>
    <w:basedOn w:val="Normal"/>
    <w:semiHidden/>
    <w:rsid w:val="0085469A"/>
    <w:pPr>
      <w:spacing w:after="70"/>
    </w:pPr>
    <w:rPr>
      <w:rFonts w:ascii="Arial Narrow" w:hAnsi="Arial Narrow"/>
      <w:noProof/>
      <w:sz w:val="16"/>
      <w:lang w:val="en-AU"/>
    </w:rPr>
  </w:style>
  <w:style w:type="character" w:styleId="PageNumber">
    <w:name w:val="page number"/>
    <w:semiHidden/>
    <w:rsid w:val="00625813"/>
    <w:rPr>
      <w:rFonts w:ascii="Arial" w:hAnsi="Arial"/>
      <w:sz w:val="18"/>
    </w:rPr>
  </w:style>
  <w:style w:type="paragraph" w:customStyle="1" w:styleId="zPageNumber">
    <w:name w:val="z_PageNumber"/>
    <w:basedOn w:val="Footer"/>
    <w:semiHidden/>
    <w:rsid w:val="0085469A"/>
    <w:pPr>
      <w:tabs>
        <w:tab w:val="clear" w:pos="4513"/>
        <w:tab w:val="clear" w:pos="9026"/>
        <w:tab w:val="center" w:pos="4153"/>
        <w:tab w:val="right" w:pos="8306"/>
      </w:tabs>
      <w:jc w:val="right"/>
    </w:pPr>
    <w:rPr>
      <w:sz w:val="20"/>
    </w:rPr>
  </w:style>
  <w:style w:type="paragraph" w:customStyle="1" w:styleId="zPageName">
    <w:name w:val="z_Page Name"/>
    <w:basedOn w:val="BodyText"/>
    <w:next w:val="BodyText"/>
    <w:semiHidden/>
    <w:rsid w:val="0085469A"/>
    <w:pPr>
      <w:keepNext/>
      <w:pBdr>
        <w:bottom w:val="single" w:sz="8" w:space="1" w:color="auto"/>
      </w:pBdr>
      <w:spacing w:before="1320" w:line="360" w:lineRule="auto"/>
    </w:pPr>
    <w:rPr>
      <w:caps/>
      <w:sz w:val="32"/>
      <w:szCs w:val="28"/>
    </w:rPr>
  </w:style>
  <w:style w:type="paragraph" w:customStyle="1" w:styleId="zFileRef">
    <w:name w:val="z_FileRef"/>
    <w:basedOn w:val="Normal"/>
    <w:semiHidden/>
    <w:rsid w:val="0085469A"/>
    <w:pPr>
      <w:spacing w:before="240"/>
    </w:pPr>
  </w:style>
  <w:style w:type="paragraph" w:customStyle="1" w:styleId="zForYourCaption">
    <w:name w:val="z_For Your Caption"/>
    <w:basedOn w:val="Normal"/>
    <w:uiPriority w:val="19"/>
    <w:qFormat/>
    <w:rsid w:val="00E335AC"/>
    <w:rPr>
      <w:rFonts w:ascii="Arial Bold" w:hAnsi="Arial Bold"/>
      <w:b/>
      <w:caps/>
    </w:rPr>
  </w:style>
  <w:style w:type="paragraph" w:customStyle="1" w:styleId="DocID">
    <w:name w:val="DocID"/>
    <w:basedOn w:val="Normal"/>
    <w:next w:val="Footer"/>
    <w:link w:val="DocIDChar"/>
    <w:rsid w:val="00F665D3"/>
    <w:rPr>
      <w:rFonts w:cs="Arial"/>
      <w:sz w:val="16"/>
    </w:rPr>
  </w:style>
  <w:style w:type="character" w:customStyle="1" w:styleId="zContactHeadingsChar">
    <w:name w:val="z_Contact Headings Char"/>
    <w:basedOn w:val="DefaultParagraphFont"/>
    <w:link w:val="zContactHeadings"/>
    <w:semiHidden/>
    <w:rsid w:val="009F792A"/>
    <w:rPr>
      <w:rFonts w:ascii="Arial" w:hAnsi="Arial"/>
      <w:caps/>
    </w:rPr>
  </w:style>
  <w:style w:type="character" w:customStyle="1" w:styleId="DocIDChar">
    <w:name w:val="DocID Char"/>
    <w:basedOn w:val="zContactHeadingsChar"/>
    <w:link w:val="DocID"/>
    <w:rsid w:val="00F665D3"/>
    <w:rPr>
      <w:rFonts w:cs="Arial"/>
      <w:sz w:val="16"/>
    </w:rPr>
  </w:style>
  <w:style w:type="character" w:styleId="FootnoteReference">
    <w:name w:val="footnote reference"/>
    <w:basedOn w:val="DefaultParagraphFont"/>
    <w:uiPriority w:val="99"/>
    <w:rsid w:val="00416A72"/>
    <w:rPr>
      <w:vertAlign w:val="superscript"/>
    </w:rPr>
  </w:style>
  <w:style w:type="paragraph" w:styleId="BalloonText">
    <w:name w:val="Balloon Text"/>
    <w:basedOn w:val="Normal"/>
    <w:link w:val="BalloonTextChar"/>
    <w:uiPriority w:val="99"/>
    <w:semiHidden/>
    <w:rsid w:val="00C6646F"/>
    <w:rPr>
      <w:rFonts w:ascii="Tahoma" w:hAnsi="Tahoma" w:cs="Tahoma"/>
      <w:sz w:val="16"/>
      <w:szCs w:val="16"/>
    </w:rPr>
  </w:style>
  <w:style w:type="character" w:customStyle="1" w:styleId="BalloonTextChar">
    <w:name w:val="Balloon Text Char"/>
    <w:basedOn w:val="DefaultParagraphFont"/>
    <w:link w:val="BalloonText"/>
    <w:uiPriority w:val="99"/>
    <w:semiHidden/>
    <w:rsid w:val="00C6646F"/>
    <w:rPr>
      <w:rFonts w:ascii="Tahoma" w:hAnsi="Tahoma" w:cs="Tahoma"/>
      <w:sz w:val="16"/>
      <w:szCs w:val="16"/>
    </w:rPr>
  </w:style>
  <w:style w:type="character" w:styleId="CommentReference">
    <w:name w:val="annotation reference"/>
    <w:basedOn w:val="DefaultParagraphFont"/>
    <w:uiPriority w:val="99"/>
    <w:semiHidden/>
    <w:rsid w:val="0085278C"/>
    <w:rPr>
      <w:sz w:val="16"/>
      <w:szCs w:val="16"/>
    </w:rPr>
  </w:style>
  <w:style w:type="paragraph" w:styleId="CommentText">
    <w:name w:val="annotation text"/>
    <w:basedOn w:val="Normal"/>
    <w:link w:val="CommentTextChar"/>
    <w:uiPriority w:val="99"/>
    <w:semiHidden/>
    <w:rsid w:val="0085278C"/>
    <w:rPr>
      <w:sz w:val="20"/>
      <w:szCs w:val="20"/>
    </w:rPr>
  </w:style>
  <w:style w:type="character" w:customStyle="1" w:styleId="CommentTextChar">
    <w:name w:val="Comment Text Char"/>
    <w:basedOn w:val="DefaultParagraphFont"/>
    <w:link w:val="CommentText"/>
    <w:uiPriority w:val="99"/>
    <w:semiHidden/>
    <w:rsid w:val="0085278C"/>
    <w:rPr>
      <w:rFonts w:ascii="Arial" w:hAnsi="Arial"/>
      <w:sz w:val="20"/>
      <w:szCs w:val="20"/>
    </w:rPr>
  </w:style>
  <w:style w:type="paragraph" w:styleId="CommentSubject">
    <w:name w:val="annotation subject"/>
    <w:basedOn w:val="CommentText"/>
    <w:next w:val="CommentText"/>
    <w:link w:val="CommentSubjectChar"/>
    <w:uiPriority w:val="99"/>
    <w:semiHidden/>
    <w:rsid w:val="0085278C"/>
    <w:rPr>
      <w:b/>
      <w:bCs/>
    </w:rPr>
  </w:style>
  <w:style w:type="character" w:customStyle="1" w:styleId="CommentSubjectChar">
    <w:name w:val="Comment Subject Char"/>
    <w:basedOn w:val="CommentTextChar"/>
    <w:link w:val="CommentSubject"/>
    <w:uiPriority w:val="99"/>
    <w:semiHidden/>
    <w:rsid w:val="0085278C"/>
    <w:rPr>
      <w:b/>
      <w:bCs/>
    </w:rPr>
  </w:style>
</w:styles>
</file>

<file path=word/webSettings.xml><?xml version="1.0" encoding="utf-8"?>
<w:webSettings xmlns:r="http://schemas.openxmlformats.org/officeDocument/2006/relationships" xmlns:w="http://schemas.openxmlformats.org/wordprocessingml/2006/main">
  <w:divs>
    <w:div w:id="116921447">
      <w:bodyDiv w:val="1"/>
      <w:marLeft w:val="0"/>
      <w:marRight w:val="0"/>
      <w:marTop w:val="0"/>
      <w:marBottom w:val="0"/>
      <w:divBdr>
        <w:top w:val="none" w:sz="0" w:space="0" w:color="auto"/>
        <w:left w:val="none" w:sz="0" w:space="0" w:color="auto"/>
        <w:bottom w:val="none" w:sz="0" w:space="0" w:color="auto"/>
        <w:right w:val="none" w:sz="0" w:space="0" w:color="auto"/>
      </w:divBdr>
    </w:div>
    <w:div w:id="153687015">
      <w:bodyDiv w:val="1"/>
      <w:marLeft w:val="0"/>
      <w:marRight w:val="0"/>
      <w:marTop w:val="0"/>
      <w:marBottom w:val="0"/>
      <w:divBdr>
        <w:top w:val="none" w:sz="0" w:space="0" w:color="auto"/>
        <w:left w:val="none" w:sz="0" w:space="0" w:color="auto"/>
        <w:bottom w:val="none" w:sz="0" w:space="0" w:color="auto"/>
        <w:right w:val="none" w:sz="0" w:space="0" w:color="auto"/>
      </w:divBdr>
      <w:divsChild>
        <w:div w:id="597056272">
          <w:marLeft w:val="0"/>
          <w:marRight w:val="0"/>
          <w:marTop w:val="0"/>
          <w:marBottom w:val="0"/>
          <w:divBdr>
            <w:top w:val="none" w:sz="0" w:space="0" w:color="auto"/>
            <w:left w:val="none" w:sz="0" w:space="0" w:color="auto"/>
            <w:bottom w:val="none" w:sz="0" w:space="0" w:color="auto"/>
            <w:right w:val="none" w:sz="0" w:space="0" w:color="auto"/>
          </w:divBdr>
          <w:divsChild>
            <w:div w:id="1048996218">
              <w:marLeft w:val="0"/>
              <w:marRight w:val="0"/>
              <w:marTop w:val="0"/>
              <w:marBottom w:val="0"/>
              <w:divBdr>
                <w:top w:val="none" w:sz="0" w:space="0" w:color="auto"/>
                <w:left w:val="none" w:sz="0" w:space="0" w:color="auto"/>
                <w:bottom w:val="none" w:sz="0" w:space="0" w:color="auto"/>
                <w:right w:val="none" w:sz="0" w:space="0" w:color="auto"/>
              </w:divBdr>
              <w:divsChild>
                <w:div w:id="56780956">
                  <w:marLeft w:val="0"/>
                  <w:marRight w:val="0"/>
                  <w:marTop w:val="0"/>
                  <w:marBottom w:val="0"/>
                  <w:divBdr>
                    <w:top w:val="none" w:sz="0" w:space="0" w:color="auto"/>
                    <w:left w:val="none" w:sz="0" w:space="0" w:color="auto"/>
                    <w:bottom w:val="none" w:sz="0" w:space="0" w:color="auto"/>
                    <w:right w:val="none" w:sz="0" w:space="0" w:color="auto"/>
                  </w:divBdr>
                  <w:divsChild>
                    <w:div w:id="376971440">
                      <w:marLeft w:val="0"/>
                      <w:marRight w:val="0"/>
                      <w:marTop w:val="0"/>
                      <w:marBottom w:val="0"/>
                      <w:divBdr>
                        <w:top w:val="none" w:sz="0" w:space="0" w:color="auto"/>
                        <w:left w:val="none" w:sz="0" w:space="0" w:color="auto"/>
                        <w:bottom w:val="none" w:sz="0" w:space="0" w:color="auto"/>
                        <w:right w:val="none" w:sz="0" w:space="0" w:color="auto"/>
                      </w:divBdr>
                      <w:divsChild>
                        <w:div w:id="1021472803">
                          <w:marLeft w:val="0"/>
                          <w:marRight w:val="0"/>
                          <w:marTop w:val="0"/>
                          <w:marBottom w:val="0"/>
                          <w:divBdr>
                            <w:top w:val="none" w:sz="0" w:space="0" w:color="auto"/>
                            <w:left w:val="none" w:sz="0" w:space="0" w:color="auto"/>
                            <w:bottom w:val="none" w:sz="0" w:space="0" w:color="auto"/>
                            <w:right w:val="none" w:sz="0" w:space="0" w:color="auto"/>
                          </w:divBdr>
                          <w:divsChild>
                            <w:div w:id="1184901498">
                              <w:marLeft w:val="0"/>
                              <w:marRight w:val="0"/>
                              <w:marTop w:val="0"/>
                              <w:marBottom w:val="0"/>
                              <w:divBdr>
                                <w:top w:val="none" w:sz="0" w:space="0" w:color="auto"/>
                                <w:left w:val="none" w:sz="0" w:space="0" w:color="auto"/>
                                <w:bottom w:val="none" w:sz="0" w:space="0" w:color="auto"/>
                                <w:right w:val="none" w:sz="0" w:space="0" w:color="auto"/>
                              </w:divBdr>
                              <w:divsChild>
                                <w:div w:id="1181554304">
                                  <w:marLeft w:val="0"/>
                                  <w:marRight w:val="0"/>
                                  <w:marTop w:val="0"/>
                                  <w:marBottom w:val="0"/>
                                  <w:divBdr>
                                    <w:top w:val="none" w:sz="0" w:space="0" w:color="auto"/>
                                    <w:left w:val="none" w:sz="0" w:space="0" w:color="auto"/>
                                    <w:bottom w:val="none" w:sz="0" w:space="0" w:color="auto"/>
                                    <w:right w:val="none" w:sz="0" w:space="0" w:color="auto"/>
                                  </w:divBdr>
                                  <w:divsChild>
                                    <w:div w:id="1992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1982">
      <w:bodyDiv w:val="1"/>
      <w:marLeft w:val="0"/>
      <w:marRight w:val="0"/>
      <w:marTop w:val="0"/>
      <w:marBottom w:val="0"/>
      <w:divBdr>
        <w:top w:val="none" w:sz="0" w:space="0" w:color="auto"/>
        <w:left w:val="none" w:sz="0" w:space="0" w:color="auto"/>
        <w:bottom w:val="none" w:sz="0" w:space="0" w:color="auto"/>
        <w:right w:val="none" w:sz="0" w:space="0" w:color="auto"/>
      </w:divBdr>
    </w:div>
    <w:div w:id="1777483108">
      <w:bodyDiv w:val="1"/>
      <w:marLeft w:val="0"/>
      <w:marRight w:val="0"/>
      <w:marTop w:val="0"/>
      <w:marBottom w:val="0"/>
      <w:divBdr>
        <w:top w:val="none" w:sz="0" w:space="0" w:color="auto"/>
        <w:left w:val="none" w:sz="0" w:space="0" w:color="auto"/>
        <w:bottom w:val="none" w:sz="0" w:space="0" w:color="auto"/>
        <w:right w:val="none" w:sz="0" w:space="0" w:color="auto"/>
      </w:divBdr>
    </w:div>
    <w:div w:id="2087460657">
      <w:bodyDiv w:val="1"/>
      <w:marLeft w:val="0"/>
      <w:marRight w:val="0"/>
      <w:marTop w:val="0"/>
      <w:marBottom w:val="0"/>
      <w:divBdr>
        <w:top w:val="none" w:sz="0" w:space="0" w:color="auto"/>
        <w:left w:val="none" w:sz="0" w:space="0" w:color="auto"/>
        <w:bottom w:val="none" w:sz="0" w:space="0" w:color="auto"/>
        <w:right w:val="none" w:sz="0" w:space="0" w:color="auto"/>
      </w:divBdr>
      <w:divsChild>
        <w:div w:id="847333411">
          <w:marLeft w:val="0"/>
          <w:marRight w:val="0"/>
          <w:marTop w:val="0"/>
          <w:marBottom w:val="0"/>
          <w:divBdr>
            <w:top w:val="none" w:sz="0" w:space="0" w:color="auto"/>
            <w:left w:val="none" w:sz="0" w:space="0" w:color="auto"/>
            <w:bottom w:val="none" w:sz="0" w:space="0" w:color="auto"/>
            <w:right w:val="none" w:sz="0" w:space="0" w:color="auto"/>
          </w:divBdr>
          <w:divsChild>
            <w:div w:id="1554997403">
              <w:marLeft w:val="0"/>
              <w:marRight w:val="0"/>
              <w:marTop w:val="0"/>
              <w:marBottom w:val="0"/>
              <w:divBdr>
                <w:top w:val="none" w:sz="0" w:space="0" w:color="auto"/>
                <w:left w:val="none" w:sz="0" w:space="0" w:color="auto"/>
                <w:bottom w:val="none" w:sz="0" w:space="0" w:color="auto"/>
                <w:right w:val="none" w:sz="0" w:space="0" w:color="auto"/>
              </w:divBdr>
              <w:divsChild>
                <w:div w:id="231282679">
                  <w:marLeft w:val="0"/>
                  <w:marRight w:val="0"/>
                  <w:marTop w:val="0"/>
                  <w:marBottom w:val="0"/>
                  <w:divBdr>
                    <w:top w:val="none" w:sz="0" w:space="0" w:color="auto"/>
                    <w:left w:val="none" w:sz="0" w:space="0" w:color="auto"/>
                    <w:bottom w:val="none" w:sz="0" w:space="0" w:color="auto"/>
                    <w:right w:val="none" w:sz="0" w:space="0" w:color="auto"/>
                  </w:divBdr>
                  <w:divsChild>
                    <w:div w:id="24059763">
                      <w:marLeft w:val="0"/>
                      <w:marRight w:val="0"/>
                      <w:marTop w:val="0"/>
                      <w:marBottom w:val="0"/>
                      <w:divBdr>
                        <w:top w:val="none" w:sz="0" w:space="0" w:color="auto"/>
                        <w:left w:val="none" w:sz="0" w:space="0" w:color="auto"/>
                        <w:bottom w:val="none" w:sz="0" w:space="0" w:color="auto"/>
                        <w:right w:val="none" w:sz="0" w:space="0" w:color="auto"/>
                      </w:divBdr>
                      <w:divsChild>
                        <w:div w:id="1575237502">
                          <w:marLeft w:val="0"/>
                          <w:marRight w:val="0"/>
                          <w:marTop w:val="0"/>
                          <w:marBottom w:val="0"/>
                          <w:divBdr>
                            <w:top w:val="none" w:sz="0" w:space="0" w:color="auto"/>
                            <w:left w:val="none" w:sz="0" w:space="0" w:color="auto"/>
                            <w:bottom w:val="none" w:sz="0" w:space="0" w:color="auto"/>
                            <w:right w:val="none" w:sz="0" w:space="0" w:color="auto"/>
                          </w:divBdr>
                          <w:divsChild>
                            <w:div w:id="1940135083">
                              <w:marLeft w:val="0"/>
                              <w:marRight w:val="0"/>
                              <w:marTop w:val="0"/>
                              <w:marBottom w:val="0"/>
                              <w:divBdr>
                                <w:top w:val="none" w:sz="0" w:space="0" w:color="auto"/>
                                <w:left w:val="none" w:sz="0" w:space="0" w:color="auto"/>
                                <w:bottom w:val="none" w:sz="0" w:space="0" w:color="auto"/>
                                <w:right w:val="none" w:sz="0" w:space="0" w:color="auto"/>
                              </w:divBdr>
                              <w:divsChild>
                                <w:div w:id="2081245792">
                                  <w:marLeft w:val="0"/>
                                  <w:marRight w:val="0"/>
                                  <w:marTop w:val="0"/>
                                  <w:marBottom w:val="0"/>
                                  <w:divBdr>
                                    <w:top w:val="none" w:sz="0" w:space="0" w:color="auto"/>
                                    <w:left w:val="none" w:sz="0" w:space="0" w:color="auto"/>
                                    <w:bottom w:val="none" w:sz="0" w:space="0" w:color="auto"/>
                                    <w:right w:val="none" w:sz="0" w:space="0" w:color="auto"/>
                                  </w:divBdr>
                                  <w:divsChild>
                                    <w:div w:id="18135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Briefing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8AB2C-EFE1-40AF-9916-22D60DE6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ADXBriefing146.dotm</Template>
  <TotalTime>0</TotalTime>
  <Pages>5</Pages>
  <Words>1916</Words>
  <Characters>10649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 BIM - 29_8-14</dc:subject>
  <dc:creator>Rosie Pears</dc:creator>
  <dc:description>First Draft</dc:description>
  <cp:lastModifiedBy>Felicity Close</cp:lastModifiedBy>
  <cp:revision>2</cp:revision>
  <cp:lastPrinted>2014-10-22T02:03:00Z</cp:lastPrinted>
  <dcterms:created xsi:type="dcterms:W3CDTF">2014-11-23T21:58:00Z</dcterms:created>
  <dcterms:modified xsi:type="dcterms:W3CDTF">2014-11-23T21:58:00Z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435765v9</vt:lpwstr>
  </property>
  <property fmtid="{D5CDD505-2E9C-101B-9397-08002B2CF9AE}" pid="3" name="DocIDContent">
    <vt:lpwstr>1|v|2||</vt:lpwstr>
  </property>
</Properties>
</file>